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DD2" w:rsidRDefault="005159E5">
      <w:pPr>
        <w:spacing w:line="940" w:lineRule="exact"/>
        <w:jc w:val="distribute"/>
        <w:rPr>
          <w:rFonts w:ascii="方正小标宋_GBK" w:eastAsia="方正小标宋_GBK" w:hAnsi="文星标宋"/>
          <w:sz w:val="44"/>
          <w:szCs w:val="44"/>
        </w:rPr>
      </w:pPr>
      <w:r>
        <w:rPr>
          <w:rFonts w:eastAsia="仿宋"/>
          <w:sz w:val="32"/>
        </w:rPr>
        <w:pict>
          <v:line id="直接连接符 6" o:spid="_x0000_s1208" style="position:absolute;left:0;text-align:left;z-index:251657216;mso-wrap-style:square;mso-position-vertical-relative:page" from="-20.05pt,156pt" to="461.85pt,156.05pt" strokecolor="red" strokeweight="1pt">
            <v:fill o:detectmouseclick="t"/>
            <w10:wrap anchory="page"/>
          </v:line>
        </w:pict>
      </w:r>
      <w:r>
        <w:rPr>
          <w:rFonts w:eastAsia="仿宋"/>
          <w:sz w:val="32"/>
        </w:rPr>
        <w:pict>
          <v:line id="直接连接符 8" o:spid="_x0000_s1209" style="position:absolute;left:0;text-align:left;z-index:251656192;mso-wrap-style:square;mso-position-vertical-relative:page" from="-19.65pt,152.45pt" to="462.25pt,152.5pt" strokecolor="red" strokeweight="2pt">
            <v:fill o:detectmouseclick="t"/>
            <w10:wrap anchory="page"/>
          </v:line>
        </w:pict>
      </w:r>
      <w:r>
        <w:rPr>
          <w:rFonts w:eastAsia="仿宋"/>
          <w:sz w:val="32"/>
        </w:rPr>
        <w:pict>
          <v:line id="直接连接符 7" o:spid="_x0000_s1210" style="position:absolute;left:0;text-align:left;z-index:251658240;mso-wrap-style:square;mso-position-horizontal-relative:page;mso-position-vertical-relative:page" from="59pt,780.85pt" to="540.85pt,780.9pt" strokecolor="red" strokeweight="1pt">
            <v:fill o:detectmouseclick="t"/>
            <w10:wrap type="topAndBottom" anchorx="page" anchory="page"/>
          </v:line>
        </w:pict>
      </w:r>
      <w:r>
        <w:rPr>
          <w:rFonts w:eastAsia="仿宋"/>
          <w:sz w:val="32"/>
        </w:rPr>
        <w:pict>
          <v:line id="直接连接符 5" o:spid="_x0000_s1211" style="position:absolute;left:0;text-align:left;z-index:251659264;mso-wrap-style:square;mso-position-horizontal-relative:page;mso-position-vertical-relative:page" from="59pt,785.2pt" to="540.85pt,785.25pt" strokecolor="red" strokeweight="2pt">
            <v:fill o:detectmouseclick="t"/>
            <w10:wrap type="topAndBottom" anchorx="page" anchory="page"/>
          </v:line>
        </w:pict>
      </w:r>
      <w:r w:rsidR="00292456">
        <w:rPr>
          <w:rFonts w:ascii="方正小标宋_GBK" w:eastAsia="方正小标宋_GBK" w:hAnsi="方正小标宋_GBK" w:cs="方正小标宋_GBK" w:hint="eastAsia"/>
          <w:color w:val="FF0000"/>
          <w:spacing w:val="-34"/>
          <w:kern w:val="0"/>
          <w:sz w:val="80"/>
          <w:szCs w:val="80"/>
        </w:rPr>
        <w:t>青岛市科学技术局</w:t>
      </w:r>
    </w:p>
    <w:p w:rsidR="00BC5DD2" w:rsidRDefault="00BC5DD2">
      <w:pPr>
        <w:widowControl w:val="0"/>
        <w:rPr>
          <w:rFonts w:ascii="方正小标宋_GBK" w:eastAsia="方正小标宋_GBK" w:hAnsi="方正小标宋_GBK" w:cs="方正小标宋_GBK"/>
          <w:sz w:val="44"/>
          <w:szCs w:val="44"/>
        </w:rPr>
      </w:pPr>
    </w:p>
    <w:p w:rsidR="00BC5DD2" w:rsidRDefault="00292456">
      <w:pPr>
        <w:widowControl w:val="0"/>
        <w:jc w:val="center"/>
        <w:rPr>
          <w:rFonts w:ascii="方正小标宋_GBK" w:eastAsia="方正小标宋_GBK" w:hAnsi="方正小标宋_GBK" w:cs="方正小标宋_GBK"/>
          <w:sz w:val="44"/>
          <w:szCs w:val="44"/>
        </w:rPr>
      </w:pPr>
      <w:r>
        <w:rPr>
          <w:rFonts w:ascii="方正小标宋_GBK" w:eastAsia="方正小标宋_GBK" w:hAnsi="方正小标宋_GBK" w:cs="方正小标宋_GBK" w:hint="eastAsia"/>
          <w:sz w:val="44"/>
          <w:szCs w:val="44"/>
        </w:rPr>
        <w:t>关于组织申报2026年青岛市自然科学基金</w:t>
      </w:r>
    </w:p>
    <w:p w:rsidR="00BC5DD2" w:rsidRDefault="00292456">
      <w:pPr>
        <w:widowControl w:val="0"/>
        <w:jc w:val="center"/>
        <w:rPr>
          <w:rFonts w:ascii="方正小标宋_GBK" w:eastAsia="方正小标宋_GBK" w:hAnsi="方正小标宋_GBK" w:cs="方正小标宋_GBK"/>
          <w:sz w:val="44"/>
          <w:szCs w:val="44"/>
        </w:rPr>
      </w:pPr>
      <w:r>
        <w:rPr>
          <w:rFonts w:ascii="方正小标宋_GBK" w:eastAsia="方正小标宋_GBK" w:hAnsi="方正小标宋_GBK" w:cs="方正小标宋_GBK" w:hint="eastAsia"/>
          <w:sz w:val="44"/>
          <w:szCs w:val="44"/>
        </w:rPr>
        <w:t>联合基金项目的通知</w:t>
      </w:r>
    </w:p>
    <w:p w:rsidR="00BC5DD2" w:rsidRDefault="00BC5DD2">
      <w:pPr>
        <w:widowControl w:val="0"/>
        <w:rPr>
          <w:rFonts w:ascii="仿宋_GB2312" w:eastAsia="仿宋_GB2312" w:hAnsi="Times New Roman" w:cs="Times New Roman"/>
          <w:sz w:val="32"/>
          <w:szCs w:val="32"/>
        </w:rPr>
      </w:pPr>
    </w:p>
    <w:p w:rsidR="00BC5DD2" w:rsidRDefault="00292456">
      <w:pPr>
        <w:widowControl w:val="0"/>
        <w:rPr>
          <w:rFonts w:ascii="仿宋_GB2312" w:eastAsia="仿宋_GB2312" w:hAnsi="Times New Roman" w:cs="Times New Roman"/>
          <w:sz w:val="32"/>
          <w:szCs w:val="32"/>
        </w:rPr>
      </w:pPr>
      <w:r>
        <w:rPr>
          <w:rFonts w:ascii="仿宋_GB2312" w:eastAsia="仿宋_GB2312" w:hAnsi="Times New Roman" w:cs="Times New Roman" w:hint="eastAsia"/>
          <w:sz w:val="32"/>
          <w:szCs w:val="32"/>
        </w:rPr>
        <w:t>各区（市、功能区）科技主管部门，各有关部门和单位：</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按照《青岛市科技计划项目管理办法》（青科</w:t>
      </w:r>
      <w:proofErr w:type="gramStart"/>
      <w:r>
        <w:rPr>
          <w:rFonts w:ascii="仿宋_GB2312" w:eastAsia="仿宋_GB2312" w:hAnsi="Times New Roman" w:cs="Times New Roman" w:hint="eastAsia"/>
          <w:sz w:val="32"/>
          <w:szCs w:val="32"/>
        </w:rPr>
        <w:t>规</w:t>
      </w:r>
      <w:proofErr w:type="gramEnd"/>
      <w:r>
        <w:rPr>
          <w:rFonts w:ascii="仿宋_GB2312" w:eastAsia="仿宋_GB2312" w:hAnsi="Times New Roman" w:cs="Times New Roman" w:hint="eastAsia"/>
          <w:sz w:val="32"/>
          <w:szCs w:val="32"/>
        </w:rPr>
        <w:t>〔2021〕16号）、《青岛市科学技术专项资金管理办法》（</w:t>
      </w:r>
      <w:proofErr w:type="gramStart"/>
      <w:r>
        <w:rPr>
          <w:rFonts w:ascii="仿宋_GB2312" w:eastAsia="仿宋_GB2312" w:hAnsi="Times New Roman" w:cs="Times New Roman" w:hint="eastAsia"/>
          <w:sz w:val="32"/>
          <w:szCs w:val="32"/>
        </w:rPr>
        <w:t>青财科教</w:t>
      </w:r>
      <w:proofErr w:type="gramEnd"/>
      <w:r>
        <w:rPr>
          <w:rFonts w:ascii="仿宋_GB2312" w:eastAsia="仿宋_GB2312" w:hAnsi="Times New Roman" w:cs="Times New Roman" w:hint="eastAsia"/>
          <w:sz w:val="32"/>
          <w:szCs w:val="32"/>
        </w:rPr>
        <w:t>〔2024〕19号）、《青岛市自然科学基金项目管理办法》</w:t>
      </w:r>
      <w:r>
        <w:rPr>
          <w:rFonts w:ascii="仿宋_GB2312" w:eastAsia="仿宋_GB2312" w:hAnsi="仿宋_GB2312" w:cs="仿宋_GB2312" w:hint="eastAsia"/>
          <w:sz w:val="32"/>
          <w:szCs w:val="32"/>
        </w:rPr>
        <w:t>《青岛市自然科学基金联合基金项目管理办法》</w:t>
      </w:r>
      <w:r>
        <w:rPr>
          <w:rFonts w:ascii="仿宋_GB2312" w:eastAsia="仿宋_GB2312" w:hAnsi="Times New Roman" w:cs="Times New Roman" w:hint="eastAsia"/>
          <w:sz w:val="32"/>
          <w:szCs w:val="32"/>
        </w:rPr>
        <w:t>（青科</w:t>
      </w:r>
      <w:proofErr w:type="gramStart"/>
      <w:r>
        <w:rPr>
          <w:rFonts w:ascii="仿宋_GB2312" w:eastAsia="仿宋_GB2312" w:hAnsi="Times New Roman" w:cs="Times New Roman" w:hint="eastAsia"/>
          <w:sz w:val="32"/>
          <w:szCs w:val="32"/>
        </w:rPr>
        <w:t>规</w:t>
      </w:r>
      <w:proofErr w:type="gramEnd"/>
      <w:r>
        <w:rPr>
          <w:rFonts w:ascii="仿宋_GB2312" w:eastAsia="仿宋_GB2312" w:hAnsi="Times New Roman" w:cs="Times New Roman" w:hint="eastAsia"/>
          <w:sz w:val="32"/>
          <w:szCs w:val="32"/>
        </w:rPr>
        <w:t>〔2025〕1号）有关要求，为加快推进科技强市建设，提升我市基础研究水平和原始创新能力，</w:t>
      </w:r>
      <w:proofErr w:type="gramStart"/>
      <w:r>
        <w:rPr>
          <w:rFonts w:ascii="仿宋_GB2312" w:eastAsia="仿宋_GB2312" w:hAnsi="Times New Roman" w:cs="Times New Roman" w:hint="eastAsia"/>
          <w:sz w:val="32"/>
          <w:szCs w:val="32"/>
        </w:rPr>
        <w:t>现启动</w:t>
      </w:r>
      <w:proofErr w:type="gramEnd"/>
      <w:r>
        <w:rPr>
          <w:rFonts w:ascii="仿宋_GB2312" w:eastAsia="仿宋_GB2312" w:hAnsi="Times New Roman" w:cs="Times New Roman" w:hint="eastAsia"/>
          <w:sz w:val="32"/>
          <w:szCs w:val="32"/>
        </w:rPr>
        <w:t>2026年市自然科学基金联合基金项目申报，有关事项通知如下：</w:t>
      </w:r>
    </w:p>
    <w:p w:rsidR="00BC5DD2" w:rsidRDefault="00292456">
      <w:pPr>
        <w:widowControl w:val="0"/>
        <w:ind w:firstLineChars="200" w:firstLine="640"/>
        <w:rPr>
          <w:rFonts w:ascii="黑体" w:eastAsia="黑体" w:hAnsi="黑体"/>
          <w:sz w:val="32"/>
          <w:szCs w:val="32"/>
        </w:rPr>
      </w:pPr>
      <w:r>
        <w:rPr>
          <w:rFonts w:ascii="黑体" w:eastAsia="黑体" w:hAnsi="黑体" w:hint="eastAsia"/>
          <w:sz w:val="32"/>
          <w:szCs w:val="32"/>
        </w:rPr>
        <w:t>一、研究方向</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仿宋_GB2312" w:cs="仿宋_GB2312" w:hint="eastAsia"/>
          <w:sz w:val="32"/>
          <w:szCs w:val="32"/>
        </w:rPr>
        <w:t>联合基金项目主要支持具有较强创新实力的科技人员及团队，围绕我市加快构建“10+1”创新型产业体系的工作部署以及联合资助单位的技术需求，推动解决产业重大科学问题和关键共性技术难题。具体研究方向见附件1。</w:t>
      </w:r>
    </w:p>
    <w:p w:rsidR="00BC5DD2" w:rsidRDefault="00292456">
      <w:pPr>
        <w:widowControl w:val="0"/>
        <w:ind w:firstLineChars="200" w:firstLine="640"/>
        <w:rPr>
          <w:rFonts w:ascii="黑体" w:eastAsia="黑体" w:hAnsi="黑体"/>
          <w:sz w:val="32"/>
          <w:szCs w:val="32"/>
        </w:rPr>
      </w:pPr>
      <w:r>
        <w:rPr>
          <w:rFonts w:ascii="黑体" w:eastAsia="黑体" w:hAnsi="黑体" w:hint="eastAsia"/>
          <w:sz w:val="32"/>
          <w:szCs w:val="32"/>
        </w:rPr>
        <w:t>二、申报条件</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申报项目须符合上述研究方向，同时还须满足以下条件：</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（一）申报单位须为在青岛依法注册、具有独立法人资格的企业、高等学校、科研院所和新型研发机构，有较强的科研能力</w:t>
      </w:r>
      <w:r>
        <w:rPr>
          <w:rFonts w:ascii="仿宋_GB2312" w:eastAsia="仿宋_GB2312" w:hAnsi="Times New Roman" w:cs="Times New Roman" w:hint="eastAsia"/>
          <w:sz w:val="32"/>
          <w:szCs w:val="32"/>
        </w:rPr>
        <w:lastRenderedPageBreak/>
        <w:t>和基础条件，管理运行规范。</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（二）申请人应为</w:t>
      </w:r>
      <w:r w:rsidRPr="008A6D0B">
        <w:rPr>
          <w:rFonts w:ascii="仿宋_GB2312" w:eastAsia="仿宋_GB2312" w:hAnsi="Times New Roman" w:cs="Times New Roman" w:hint="eastAsia"/>
          <w:color w:val="FF0000"/>
          <w:sz w:val="32"/>
          <w:szCs w:val="32"/>
        </w:rPr>
        <w:t>正式受聘于申报单位的在岗人员</w:t>
      </w:r>
      <w:r>
        <w:rPr>
          <w:rFonts w:ascii="仿宋_GB2312" w:eastAsia="仿宋_GB2312" w:hAnsi="Times New Roman" w:cs="Times New Roman" w:hint="eastAsia"/>
          <w:sz w:val="32"/>
          <w:szCs w:val="32"/>
        </w:rPr>
        <w:t>，科研信用记录良好，聘任合同或协议期限须覆盖项目资助期；须是项目实际负责人，具有领导和组织开展科研创新的能力，</w:t>
      </w:r>
      <w:r w:rsidRPr="008A6D0B">
        <w:rPr>
          <w:rFonts w:ascii="仿宋_GB2312" w:eastAsia="仿宋_GB2312" w:hAnsi="仿宋_GB2312" w:cs="仿宋_GB2312" w:hint="eastAsia"/>
          <w:color w:val="FF0000"/>
          <w:kern w:val="0"/>
          <w:sz w:val="32"/>
          <w:szCs w:val="32"/>
        </w:rPr>
        <w:t>具有博士学位</w:t>
      </w:r>
      <w:r w:rsidRPr="008A6D0B">
        <w:rPr>
          <w:rFonts w:ascii="仿宋_GB2312" w:eastAsia="仿宋_GB2312" w:hAnsi="Times New Roman" w:cs="Times New Roman" w:hint="eastAsia"/>
          <w:color w:val="FF0000"/>
          <w:sz w:val="32"/>
          <w:szCs w:val="32"/>
        </w:rPr>
        <w:t>或高级专业技术职务（职称）</w:t>
      </w:r>
      <w:r w:rsidRPr="008A6D0B">
        <w:rPr>
          <w:rFonts w:ascii="仿宋_GB2312" w:eastAsia="仿宋_GB2312" w:hAnsi="仿宋_GB2312" w:cs="仿宋_GB2312" w:hint="eastAsia"/>
          <w:color w:val="FF0000"/>
          <w:kern w:val="0"/>
          <w:sz w:val="32"/>
          <w:szCs w:val="32"/>
        </w:rPr>
        <w:t>，</w:t>
      </w:r>
      <w:bookmarkStart w:id="0" w:name="_GoBack"/>
      <w:bookmarkEnd w:id="0"/>
      <w:r w:rsidRPr="008A6D0B">
        <w:rPr>
          <w:rFonts w:ascii="仿宋_GB2312" w:eastAsia="仿宋_GB2312" w:hAnsi="Times New Roman" w:cs="Times New Roman" w:hint="eastAsia"/>
          <w:color w:val="FF0000"/>
          <w:sz w:val="32"/>
          <w:szCs w:val="32"/>
        </w:rPr>
        <w:t>具有承担国家或省自然科学基金项目、重点研发计划项目的经历。有2项市在</w:t>
      </w:r>
      <w:proofErr w:type="gramStart"/>
      <w:r w:rsidRPr="008A6D0B">
        <w:rPr>
          <w:rFonts w:ascii="仿宋_GB2312" w:eastAsia="仿宋_GB2312" w:hAnsi="Times New Roman" w:cs="Times New Roman" w:hint="eastAsia"/>
          <w:color w:val="FF0000"/>
          <w:sz w:val="32"/>
          <w:szCs w:val="32"/>
        </w:rPr>
        <w:t>研</w:t>
      </w:r>
      <w:proofErr w:type="gramEnd"/>
      <w:r w:rsidRPr="008A6D0B">
        <w:rPr>
          <w:rFonts w:ascii="仿宋_GB2312" w:eastAsia="仿宋_GB2312" w:hAnsi="Times New Roman" w:cs="Times New Roman" w:hint="eastAsia"/>
          <w:color w:val="FF0000"/>
          <w:sz w:val="32"/>
          <w:szCs w:val="32"/>
        </w:rPr>
        <w:t>科技计划项目的负责人不得申报（正常参加2026年验收的项目除外）</w:t>
      </w:r>
      <w:r>
        <w:rPr>
          <w:rFonts w:ascii="仿宋_GB2312" w:eastAsia="仿宋_GB2312" w:hAnsi="Times New Roman" w:cs="Times New Roman" w:hint="eastAsia"/>
          <w:sz w:val="32"/>
          <w:szCs w:val="32"/>
        </w:rPr>
        <w:t>。参加过相关指南咨询论证的专家不得作为项目负责人或项目团队成员申报。</w:t>
      </w:r>
    </w:p>
    <w:p w:rsidR="00BC5DD2" w:rsidRDefault="00292456">
      <w:pPr>
        <w:widowControl w:val="0"/>
        <w:ind w:firstLineChars="200" w:firstLine="640"/>
        <w:rPr>
          <w:sz w:val="32"/>
          <w:szCs w:val="32"/>
        </w:rPr>
      </w:pPr>
      <w:r>
        <w:rPr>
          <w:rFonts w:ascii="仿宋_GB2312" w:eastAsia="仿宋_GB2312" w:hAnsi="Times New Roman" w:cs="Times New Roman" w:hint="eastAsia"/>
          <w:sz w:val="32"/>
          <w:szCs w:val="32"/>
        </w:rPr>
        <w:t>申请人为单位法定代表人的，可只提供单位营业执照或事业单位法人证书，和</w:t>
      </w:r>
      <w:proofErr w:type="gramStart"/>
      <w:r>
        <w:rPr>
          <w:rFonts w:ascii="仿宋_GB2312" w:eastAsia="仿宋_GB2312" w:hAnsi="Times New Roman" w:cs="Times New Roman" w:hint="eastAsia"/>
          <w:sz w:val="32"/>
          <w:szCs w:val="32"/>
        </w:rPr>
        <w:t>任</w:t>
      </w:r>
      <w:proofErr w:type="gramEnd"/>
      <w:r>
        <w:rPr>
          <w:rFonts w:ascii="仿宋_GB2312" w:eastAsia="仿宋_GB2312" w:hAnsi="Times New Roman" w:cs="Times New Roman" w:hint="eastAsia"/>
          <w:sz w:val="32"/>
          <w:szCs w:val="32"/>
        </w:rPr>
        <w:t>/聘期覆盖申请项目执行期的有关证明。</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1.事业单位项目申请人是指在申报单位工作且与申报单位签订聘用合同的在岗人员，并由单位支付工资、缴纳社会保险等，证明材料包括但不限于：公开招聘人员备案通知书等文件，聘用合同、发放工资或缴纳社会保险等证明。不按编制管理的非企业单位、新型研发机构等项目申请人应为申报单位聘用的全职在岗人员，证明材料包括但不限于：人才引进合同、聘任（用）合同/协议等，在青缴纳社会/医疗保险、在青纳税等证明。</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2.科技企业项目申请人应为依照《中华人民共和国劳动法》，与申报单位建立劳动合同关系的劳动者。证明材料包括但不限于：劳动合同和在申报单位缴纳社会保险证明等在青纳税等证明。</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以上相关证明材料报主管单位审核并存档备查，</w:t>
      </w:r>
      <w:proofErr w:type="gramStart"/>
      <w:r>
        <w:rPr>
          <w:rFonts w:ascii="仿宋_GB2312" w:eastAsia="仿宋_GB2312" w:hAnsi="Times New Roman" w:cs="Times New Roman" w:hint="eastAsia"/>
          <w:sz w:val="32"/>
          <w:szCs w:val="32"/>
        </w:rPr>
        <w:t>无须上</w:t>
      </w:r>
      <w:proofErr w:type="gramEnd"/>
      <w:r>
        <w:rPr>
          <w:rFonts w:ascii="仿宋_GB2312" w:eastAsia="仿宋_GB2312" w:hAnsi="Times New Roman" w:cs="Times New Roman" w:hint="eastAsia"/>
          <w:sz w:val="32"/>
          <w:szCs w:val="32"/>
        </w:rPr>
        <w:t>传系</w:t>
      </w:r>
      <w:r>
        <w:rPr>
          <w:rFonts w:ascii="仿宋_GB2312" w:eastAsia="仿宋_GB2312" w:hAnsi="Times New Roman" w:cs="Times New Roman" w:hint="eastAsia"/>
          <w:sz w:val="32"/>
          <w:szCs w:val="32"/>
        </w:rPr>
        <w:lastRenderedPageBreak/>
        <w:t>统。</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（三）</w:t>
      </w:r>
      <w:r w:rsidRPr="008530CD">
        <w:rPr>
          <w:rFonts w:ascii="仿宋_GB2312" w:eastAsia="仿宋_GB2312" w:hAnsi="Times New Roman" w:cs="Times New Roman" w:hint="eastAsia"/>
          <w:color w:val="FF0000"/>
          <w:sz w:val="32"/>
          <w:szCs w:val="32"/>
        </w:rPr>
        <w:t>同</w:t>
      </w:r>
      <w:proofErr w:type="gramStart"/>
      <w:r w:rsidRPr="008530CD">
        <w:rPr>
          <w:rFonts w:ascii="仿宋_GB2312" w:eastAsia="仿宋_GB2312" w:hAnsi="Times New Roman" w:cs="Times New Roman" w:hint="eastAsia"/>
          <w:color w:val="FF0000"/>
          <w:sz w:val="32"/>
          <w:szCs w:val="32"/>
        </w:rPr>
        <w:t>一</w:t>
      </w:r>
      <w:proofErr w:type="gramEnd"/>
      <w:r w:rsidRPr="008530CD">
        <w:rPr>
          <w:rFonts w:ascii="仿宋_GB2312" w:eastAsia="仿宋_GB2312" w:hAnsi="Times New Roman" w:cs="Times New Roman" w:hint="eastAsia"/>
          <w:color w:val="FF0000"/>
          <w:sz w:val="32"/>
          <w:szCs w:val="32"/>
        </w:rPr>
        <w:t>年度每位项目申请人</w:t>
      </w:r>
      <w:proofErr w:type="gramStart"/>
      <w:r w:rsidRPr="008530CD">
        <w:rPr>
          <w:rFonts w:ascii="仿宋_GB2312" w:eastAsia="仿宋_GB2312" w:hAnsi="Times New Roman" w:cs="Times New Roman" w:hint="eastAsia"/>
          <w:color w:val="FF0000"/>
          <w:sz w:val="32"/>
          <w:szCs w:val="32"/>
        </w:rPr>
        <w:t>限申请市</w:t>
      </w:r>
      <w:proofErr w:type="gramEnd"/>
      <w:r w:rsidRPr="008530CD">
        <w:rPr>
          <w:rFonts w:ascii="仿宋_GB2312" w:eastAsia="仿宋_GB2312" w:hAnsi="Times New Roman" w:cs="Times New Roman" w:hint="eastAsia"/>
          <w:color w:val="FF0000"/>
          <w:sz w:val="32"/>
          <w:szCs w:val="32"/>
        </w:rPr>
        <w:t>自然基金项目1项（含其他批次项目类型）。有超过2项（不含2项）支持经费均为100万元及以上在</w:t>
      </w:r>
      <w:proofErr w:type="gramStart"/>
      <w:r w:rsidRPr="008530CD">
        <w:rPr>
          <w:rFonts w:ascii="仿宋_GB2312" w:eastAsia="仿宋_GB2312" w:hAnsi="Times New Roman" w:cs="Times New Roman" w:hint="eastAsia"/>
          <w:color w:val="FF0000"/>
          <w:sz w:val="32"/>
          <w:szCs w:val="32"/>
        </w:rPr>
        <w:t>研</w:t>
      </w:r>
      <w:proofErr w:type="gramEnd"/>
      <w:r w:rsidRPr="008530CD">
        <w:rPr>
          <w:rFonts w:ascii="仿宋_GB2312" w:eastAsia="仿宋_GB2312" w:hAnsi="Times New Roman" w:cs="Times New Roman" w:hint="eastAsia"/>
          <w:color w:val="FF0000"/>
          <w:sz w:val="32"/>
          <w:szCs w:val="32"/>
        </w:rPr>
        <w:t>国家或省科技计划项目（含自然科学基金）的项目负责人不得申报</w:t>
      </w:r>
      <w:r>
        <w:rPr>
          <w:rFonts w:ascii="仿宋_GB2312" w:eastAsia="仿宋_GB2312" w:hAnsi="Times New Roman" w:cs="Times New Roman" w:hint="eastAsia"/>
          <w:sz w:val="32"/>
          <w:szCs w:val="32"/>
        </w:rPr>
        <w:t>。</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已做出资助决定的国家、省自然科学基金项目视为在</w:t>
      </w:r>
      <w:proofErr w:type="gramStart"/>
      <w:r>
        <w:rPr>
          <w:rFonts w:ascii="仿宋_GB2312" w:eastAsia="仿宋_GB2312" w:hAnsi="Times New Roman" w:cs="Times New Roman" w:hint="eastAsia"/>
          <w:sz w:val="32"/>
          <w:szCs w:val="32"/>
        </w:rPr>
        <w:t>研</w:t>
      </w:r>
      <w:proofErr w:type="gramEnd"/>
      <w:r>
        <w:rPr>
          <w:rFonts w:ascii="仿宋_GB2312" w:eastAsia="仿宋_GB2312" w:hAnsi="Times New Roman" w:cs="Times New Roman" w:hint="eastAsia"/>
          <w:sz w:val="32"/>
          <w:szCs w:val="32"/>
        </w:rPr>
        <w:t>项目。以下情形</w:t>
      </w:r>
      <w:proofErr w:type="gramStart"/>
      <w:r>
        <w:rPr>
          <w:rFonts w:ascii="仿宋_GB2312" w:eastAsia="仿宋_GB2312" w:hAnsi="Times New Roman" w:cs="Times New Roman" w:hint="eastAsia"/>
          <w:sz w:val="32"/>
          <w:szCs w:val="32"/>
        </w:rPr>
        <w:t>不</w:t>
      </w:r>
      <w:proofErr w:type="gramEnd"/>
      <w:r>
        <w:rPr>
          <w:rFonts w:ascii="仿宋_GB2312" w:eastAsia="仿宋_GB2312" w:hAnsi="Times New Roman" w:cs="Times New Roman" w:hint="eastAsia"/>
          <w:sz w:val="32"/>
          <w:szCs w:val="32"/>
        </w:rPr>
        <w:t>视为在</w:t>
      </w:r>
      <w:proofErr w:type="gramStart"/>
      <w:r>
        <w:rPr>
          <w:rFonts w:ascii="仿宋_GB2312" w:eastAsia="仿宋_GB2312" w:hAnsi="Times New Roman" w:cs="Times New Roman" w:hint="eastAsia"/>
          <w:sz w:val="32"/>
          <w:szCs w:val="32"/>
        </w:rPr>
        <w:t>研</w:t>
      </w:r>
      <w:proofErr w:type="gramEnd"/>
      <w:r>
        <w:rPr>
          <w:rFonts w:ascii="仿宋_GB2312" w:eastAsia="仿宋_GB2312" w:hAnsi="Times New Roman" w:cs="Times New Roman" w:hint="eastAsia"/>
          <w:sz w:val="32"/>
          <w:szCs w:val="32"/>
        </w:rPr>
        <w:t>项目：1.获得国家、省自然科学基金结题证明，包括国家自然基金委相关学部、</w:t>
      </w:r>
      <w:proofErr w:type="gramStart"/>
      <w:r>
        <w:rPr>
          <w:rFonts w:ascii="仿宋_GB2312" w:eastAsia="仿宋_GB2312" w:hAnsi="Times New Roman" w:cs="Times New Roman" w:hint="eastAsia"/>
          <w:sz w:val="32"/>
          <w:szCs w:val="32"/>
        </w:rPr>
        <w:t>省自然</w:t>
      </w:r>
      <w:proofErr w:type="gramEnd"/>
      <w:r>
        <w:rPr>
          <w:rFonts w:ascii="仿宋_GB2312" w:eastAsia="仿宋_GB2312" w:hAnsi="Times New Roman" w:cs="Times New Roman" w:hint="eastAsia"/>
          <w:sz w:val="32"/>
          <w:szCs w:val="32"/>
        </w:rPr>
        <w:t>基金委办公室盖章的结题证明、通知或同意结题意见的；2.通知发布之前，属于正常结题范畴的，在国家或省自然科学基金系统中已完成结题报告提交，并经推荐单位审核通过的。</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项目负责人不得在同一年将研究内容相同或相近的项目以不同项目类型、由不同申报人或经不同依托单位提出申请；不得将已获资助的项目重复提出申请。</w:t>
      </w:r>
    </w:p>
    <w:p w:rsidR="00BC5DD2" w:rsidRDefault="00292456">
      <w:pPr>
        <w:widowControl w:val="0"/>
        <w:ind w:firstLineChars="200" w:firstLine="640"/>
      </w:pPr>
      <w:r>
        <w:rPr>
          <w:rFonts w:ascii="仿宋_GB2312" w:eastAsia="仿宋_GB2312" w:hAnsi="Times New Roman" w:cs="Times New Roman" w:hint="eastAsia"/>
          <w:sz w:val="32"/>
          <w:szCs w:val="32"/>
        </w:rPr>
        <w:t>在</w:t>
      </w:r>
      <w:proofErr w:type="gramStart"/>
      <w:r>
        <w:rPr>
          <w:rFonts w:ascii="仿宋_GB2312" w:eastAsia="仿宋_GB2312" w:hAnsi="Times New Roman" w:cs="Times New Roman" w:hint="eastAsia"/>
          <w:sz w:val="32"/>
          <w:szCs w:val="32"/>
        </w:rPr>
        <w:t>研</w:t>
      </w:r>
      <w:proofErr w:type="gramEnd"/>
      <w:r>
        <w:rPr>
          <w:rFonts w:ascii="仿宋_GB2312" w:eastAsia="仿宋_GB2312" w:hAnsi="Times New Roman" w:cs="Times New Roman" w:hint="eastAsia"/>
          <w:sz w:val="32"/>
          <w:szCs w:val="32"/>
        </w:rPr>
        <w:t>项目情况、是否重复申请由申报单位负责审核；项目结题证明、系统报告提交证明等材料报主管单位审核并存档备查，</w:t>
      </w:r>
      <w:proofErr w:type="gramStart"/>
      <w:r>
        <w:rPr>
          <w:rFonts w:ascii="仿宋_GB2312" w:eastAsia="仿宋_GB2312" w:hAnsi="Times New Roman" w:cs="Times New Roman" w:hint="eastAsia"/>
          <w:sz w:val="32"/>
          <w:szCs w:val="32"/>
        </w:rPr>
        <w:t>无须上</w:t>
      </w:r>
      <w:proofErr w:type="gramEnd"/>
      <w:r>
        <w:rPr>
          <w:rFonts w:ascii="仿宋_GB2312" w:eastAsia="仿宋_GB2312" w:hAnsi="Times New Roman" w:cs="Times New Roman" w:hint="eastAsia"/>
          <w:sz w:val="32"/>
          <w:szCs w:val="32"/>
        </w:rPr>
        <w:t>传系统。</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（四）申请人和申报单位须对申报材料的真实性、完整性、规范性和合法性负责。经发现申报材料存在弄虚作假等不实情况的，取消申请人和申报单位项目申报资格，并记入科研诚信档案。</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（五）鼓励项目申报单位配套出资。项目参与人员与负责人不是同一单位的，参与人员所在单位视为合作研究单位。</w:t>
      </w:r>
      <w:r w:rsidRPr="008530CD">
        <w:rPr>
          <w:rFonts w:ascii="仿宋_GB2312" w:eastAsia="仿宋_GB2312" w:hAnsi="Times New Roman" w:cs="Times New Roman" w:hint="eastAsia"/>
          <w:color w:val="FF0000"/>
          <w:sz w:val="32"/>
          <w:szCs w:val="32"/>
        </w:rPr>
        <w:t>合作研</w:t>
      </w:r>
      <w:r w:rsidRPr="008530CD">
        <w:rPr>
          <w:rFonts w:ascii="仿宋_GB2312" w:eastAsia="仿宋_GB2312" w:hAnsi="Times New Roman" w:cs="Times New Roman" w:hint="eastAsia"/>
          <w:color w:val="FF0000"/>
          <w:sz w:val="32"/>
          <w:szCs w:val="32"/>
        </w:rPr>
        <w:lastRenderedPageBreak/>
        <w:t>究单位应具备独立法人资格，数量不得超过2个</w:t>
      </w:r>
      <w:r>
        <w:rPr>
          <w:rFonts w:ascii="仿宋_GB2312" w:eastAsia="仿宋_GB2312" w:hAnsi="Times New Roman" w:cs="Times New Roman" w:hint="eastAsia"/>
          <w:sz w:val="32"/>
          <w:szCs w:val="32"/>
        </w:rPr>
        <w:t>。</w:t>
      </w:r>
      <w:r w:rsidRPr="008530CD">
        <w:rPr>
          <w:rFonts w:ascii="仿宋_GB2312" w:eastAsia="仿宋_GB2312" w:hAnsi="Times New Roman" w:cs="Times New Roman" w:hint="eastAsia"/>
          <w:color w:val="FF0000"/>
          <w:sz w:val="32"/>
          <w:szCs w:val="32"/>
        </w:rPr>
        <w:t>项目申报单位须与所有合作单位签署联合申报协议，明确约定各自所承担的任务、目标、责任和经费（包括市财政资金和自筹经费等），协议应覆盖项目资助期</w:t>
      </w:r>
      <w:r>
        <w:rPr>
          <w:rFonts w:ascii="仿宋_GB2312" w:eastAsia="仿宋_GB2312" w:hAnsi="Times New Roman" w:cs="Times New Roman" w:hint="eastAsia"/>
          <w:sz w:val="32"/>
          <w:szCs w:val="32"/>
        </w:rPr>
        <w:t>。</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（六）若申报项目涉及科技伦理、科技安全、保密等相关问题，申报单位和申请人须严格执行国家有关法律法规、伦理准则和保密要求。</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七）申报单位为企业的，落实“绿色门槛”制度。按照《关于深入推进财政涉企资金“绿色门槛”制度的实施意见》（鲁财资环〔2022〕29号）要求，严格落实企业主体责任,企业在申报项目时,须对照“绿色门槛”制度进行自查,并就是否符合制度要求做出书面承诺。</w:t>
      </w:r>
    </w:p>
    <w:p w:rsidR="00BC5DD2" w:rsidRDefault="00292456">
      <w:pPr>
        <w:widowControl w:val="0"/>
        <w:ind w:firstLineChars="200" w:firstLine="640"/>
        <w:rPr>
          <w:rFonts w:ascii="黑体" w:eastAsia="黑体" w:hAnsi="黑体"/>
          <w:sz w:val="32"/>
          <w:szCs w:val="32"/>
        </w:rPr>
      </w:pPr>
      <w:r>
        <w:rPr>
          <w:rFonts w:ascii="黑体" w:eastAsia="黑体" w:hAnsi="黑体" w:hint="eastAsia"/>
          <w:sz w:val="32"/>
          <w:szCs w:val="32"/>
        </w:rPr>
        <w:t>三、资金支持方式</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项目立项后</w:t>
      </w:r>
      <w:r>
        <w:rPr>
          <w:rFonts w:ascii="仿宋_GB2312" w:eastAsia="仿宋_GB2312" w:hAnsi="Times New Roman" w:cs="Times New Roman" w:hint="eastAsia"/>
          <w:kern w:val="0"/>
          <w:sz w:val="32"/>
          <w:szCs w:val="32"/>
        </w:rPr>
        <w:t>一般采用一次性拨款方式</w:t>
      </w:r>
      <w:r>
        <w:rPr>
          <w:rFonts w:ascii="仿宋_GB2312" w:eastAsia="仿宋_GB2312" w:hAnsi="Times New Roman" w:cs="Times New Roman" w:hint="eastAsia"/>
          <w:sz w:val="32"/>
          <w:szCs w:val="32"/>
        </w:rPr>
        <w:t>，项目数量和资金拨付额度将根据年度市级预算和联合资助单位资金支持情况进行统筹安排。</w:t>
      </w:r>
    </w:p>
    <w:p w:rsidR="00BC5DD2" w:rsidRDefault="00292456">
      <w:pPr>
        <w:widowControl w:val="0"/>
        <w:ind w:firstLineChars="200" w:firstLine="640"/>
        <w:rPr>
          <w:rFonts w:ascii="黑体" w:eastAsia="黑体" w:hAnsi="黑体"/>
          <w:sz w:val="32"/>
          <w:szCs w:val="32"/>
        </w:rPr>
      </w:pPr>
      <w:r>
        <w:rPr>
          <w:rFonts w:ascii="黑体" w:eastAsia="黑体" w:hAnsi="黑体" w:hint="eastAsia"/>
          <w:sz w:val="32"/>
          <w:szCs w:val="32"/>
        </w:rPr>
        <w:t>四、申报说明</w:t>
      </w:r>
    </w:p>
    <w:p w:rsidR="00BC5DD2" w:rsidRDefault="00292456">
      <w:pPr>
        <w:widowControl w:val="0"/>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（一）申报渠道</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1.申请人在“青岛市科学技术局门户网站”http://qdstc.qingdao.gov,cn/（</w:t>
      </w:r>
      <w:proofErr w:type="gramStart"/>
      <w:r>
        <w:rPr>
          <w:rFonts w:ascii="仿宋_GB2312" w:eastAsia="仿宋_GB2312" w:hAnsi="Times New Roman" w:cs="Times New Roman" w:hint="eastAsia"/>
          <w:sz w:val="32"/>
          <w:szCs w:val="32"/>
        </w:rPr>
        <w:t>推荐谷歌浏览器</w:t>
      </w:r>
      <w:proofErr w:type="gramEnd"/>
      <w:r>
        <w:rPr>
          <w:rFonts w:ascii="仿宋_GB2312" w:eastAsia="仿宋_GB2312" w:hAnsi="Times New Roman" w:cs="Times New Roman" w:hint="eastAsia"/>
          <w:sz w:val="32"/>
          <w:szCs w:val="32"/>
        </w:rPr>
        <w:t>、360浏览器</w:t>
      </w:r>
      <w:proofErr w:type="gramStart"/>
      <w:r>
        <w:rPr>
          <w:rFonts w:ascii="仿宋_GB2312" w:eastAsia="仿宋_GB2312" w:hAnsi="Times New Roman" w:cs="Times New Roman" w:hint="eastAsia"/>
          <w:sz w:val="32"/>
          <w:szCs w:val="32"/>
        </w:rPr>
        <w:t>极速模式</w:t>
      </w:r>
      <w:proofErr w:type="gramEnd"/>
      <w:r>
        <w:rPr>
          <w:rFonts w:ascii="仿宋_GB2312" w:eastAsia="仿宋_GB2312" w:hAnsi="Times New Roman" w:cs="Times New Roman" w:hint="eastAsia"/>
          <w:sz w:val="32"/>
          <w:szCs w:val="32"/>
        </w:rPr>
        <w:t>登录，请勿使用IE浏览器）首页右上角，点击“登录”，进入系统申报。没有账号的，按个人或者单位注册流程进行注册，</w:t>
      </w:r>
      <w:r>
        <w:rPr>
          <w:rFonts w:ascii="仿宋_GB2312" w:eastAsia="仿宋_GB2312" w:hAnsi="Times New Roman" w:cs="Times New Roman" w:hint="eastAsia"/>
          <w:sz w:val="32"/>
          <w:szCs w:val="32"/>
        </w:rPr>
        <w:lastRenderedPageBreak/>
        <w:t>并及时联系申报单位、主管单位进行账号绑定审核。注册成功后，进入系统申报（推荐使用火狐、360、谷歌浏览器登录，请勿使用IE浏览器）。请妥善保存登录名和密码，以便随时进入系统查看项目申报和项目管理等情况。</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2.登录后，在“科技计划项目”模块选择“申报指南”，通过“申报指南”，在“2026年青岛市自然科学基金联合基金项目”栏，点击“申报”，进入“新建”对话框，点击“确定”，进入“申报材料”，在线填报并提交相关材料，申报材料要符合指南研究方向，须覆盖指南列出的全部研究内容、考核指标。项目名称根据研究方向和具体研究内容拟定，原则上不允许直接使用指南方向作为项目名称。项目申报材料将作为后续形式审查、项目评审的依据。在线填报绩效目标表，所填数据须与申报书中“研究方案”的预期成果指标一致;若不一致，立项时以指标高的为准。</w:t>
      </w:r>
    </w:p>
    <w:p w:rsidR="00BC5DD2" w:rsidRDefault="00292456">
      <w:pPr>
        <w:widowControl w:val="0"/>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（二）申报及推荐材料</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按要求在线填写相关表单及上传附件材料。附件主要包括：</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1.青岛市科技计划项目申报诚信承诺书（项目申请人、申报单位分别上传）；</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2.《“绿色门槛”制度落实企业自查表》（仅企业）；</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3.《“绿色门槛”制度审查意见表》（仅推荐企业）；</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4.2026年青岛市自然科学基金联合基金项目申请人身份审核表（申报单位人事部门审核）；</w:t>
      </w:r>
    </w:p>
    <w:p w:rsidR="00BC5DD2" w:rsidRDefault="00292456">
      <w:pPr>
        <w:widowControl w:val="0"/>
        <w:ind w:firstLineChars="200" w:firstLine="640"/>
        <w:rPr>
          <w:rFonts w:ascii="仿宋_GB2312" w:eastAsia="仿宋_GB2312" w:hAnsi="仿宋_GB2312" w:cs="仿宋_GB2312"/>
          <w:sz w:val="32"/>
          <w:szCs w:val="32"/>
        </w:rPr>
      </w:pPr>
      <w:r>
        <w:rPr>
          <w:rFonts w:ascii="仿宋_GB2312" w:eastAsia="仿宋_GB2312" w:hAnsi="Times New Roman" w:cs="Times New Roman" w:hint="eastAsia"/>
          <w:sz w:val="32"/>
          <w:szCs w:val="32"/>
        </w:rPr>
        <w:lastRenderedPageBreak/>
        <w:t>5.</w:t>
      </w:r>
      <w:r>
        <w:rPr>
          <w:rFonts w:ascii="仿宋_GB2312" w:eastAsia="仿宋_GB2312" w:hAnsi="仿宋_GB2312" w:cs="仿宋_GB2312" w:hint="eastAsia"/>
          <w:sz w:val="32"/>
          <w:szCs w:val="32"/>
        </w:rPr>
        <w:t>联合申报协议（仅针对有合作单位的申报单位上传）；</w:t>
      </w:r>
    </w:p>
    <w:p w:rsidR="00BC5DD2" w:rsidRDefault="00292456">
      <w:pPr>
        <w:widowControl w:val="0"/>
        <w:ind w:firstLineChars="200" w:firstLine="640"/>
        <w:rPr>
          <w:rFonts w:ascii="仿宋_GB2312" w:eastAsia="仿宋_GB2312" w:hAnsi="仿宋_GB2312" w:cs="仿宋_GB2312"/>
          <w:sz w:val="32"/>
          <w:szCs w:val="32"/>
        </w:rPr>
      </w:pPr>
      <w:r>
        <w:rPr>
          <w:rFonts w:ascii="仿宋_GB2312" w:eastAsia="仿宋_GB2312" w:hAnsi="Times New Roman" w:cs="Times New Roman" w:hint="eastAsia"/>
          <w:sz w:val="32"/>
          <w:szCs w:val="32"/>
        </w:rPr>
        <w:t>6.2026年青岛市自然科学基金项目申报推荐汇总表（主管单位上传）。</w:t>
      </w:r>
    </w:p>
    <w:p w:rsidR="00BC5DD2" w:rsidRDefault="00292456">
      <w:pPr>
        <w:widowControl w:val="0"/>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其中，附件1-4从系统下载模板；附件5无固定模板，但须具有法律效力；附件6由系统生成。</w:t>
      </w:r>
      <w:r>
        <w:rPr>
          <w:rFonts w:ascii="仿宋_GB2312" w:eastAsia="仿宋_GB2312" w:hAnsi="Times New Roman" w:cs="Times New Roman" w:hint="eastAsia"/>
          <w:sz w:val="32"/>
          <w:szCs w:val="32"/>
        </w:rPr>
        <w:t>需要签字、盖章的文件，均以PDF格式上传。同一用途的多页文件须制成一个PDF文件上传。</w:t>
      </w:r>
    </w:p>
    <w:p w:rsidR="00BC5DD2" w:rsidRDefault="00292456">
      <w:pPr>
        <w:widowControl w:val="0"/>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（三）受理时间</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1.申报期：</w:t>
      </w:r>
      <w:r w:rsidRPr="008530CD">
        <w:rPr>
          <w:rFonts w:ascii="仿宋_GB2312" w:eastAsia="仿宋_GB2312" w:hAnsi="Times New Roman" w:cs="Times New Roman" w:hint="eastAsia"/>
          <w:color w:val="FF0000"/>
          <w:sz w:val="32"/>
          <w:szCs w:val="32"/>
        </w:rPr>
        <w:t>2025年12月31日9:00至2026年1月13日17:00</w:t>
      </w:r>
      <w:r>
        <w:rPr>
          <w:rFonts w:ascii="仿宋_GB2312" w:eastAsia="仿宋_GB2312" w:hAnsi="Times New Roman" w:cs="Times New Roman" w:hint="eastAsia"/>
          <w:sz w:val="32"/>
          <w:szCs w:val="32"/>
        </w:rPr>
        <w:t>，申请人、申报单位系统申报并将申报材料提交至主管单位。</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2.推荐期：2026年1月14日9:00至1月15日17:00，主管单位审核材料，下载推荐汇总表、加盖公章并扫描上传系统。</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区（市）科技主管部门需会商有关部门，对企业类申报单位进行“绿色门槛”审查，审查通过的填写《“绿色门槛”制度审查意见表》，盖章并完成系统推荐提交。</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缺少附件材料、未按要求正确提供的附件材料，均视为无效申报和推荐，不予受理。</w:t>
      </w:r>
    </w:p>
    <w:p w:rsidR="00BC5DD2" w:rsidRDefault="00292456">
      <w:pPr>
        <w:widowControl w:val="0"/>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（四）联系方式</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1.业务咨询</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市科技局基础研究处：85911053</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青岛市科技服务中心：88728768/88728786</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lastRenderedPageBreak/>
        <w:t>2.系统技术咨询电话：85912992</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3.业务监督</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市科技局科技监督与诚信建设处：85911316</w:t>
      </w:r>
    </w:p>
    <w:p w:rsidR="00BC5DD2" w:rsidRDefault="00BC5DD2">
      <w:pPr>
        <w:widowControl w:val="0"/>
        <w:rPr>
          <w:rFonts w:ascii="仿宋_GB2312" w:eastAsia="仿宋_GB2312" w:hAnsi="Times New Roman" w:cs="Times New Roman"/>
          <w:sz w:val="32"/>
          <w:szCs w:val="32"/>
        </w:rPr>
      </w:pP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附件：联合基金项目指南研究方向</w:t>
      </w:r>
    </w:p>
    <w:p w:rsidR="00BC5DD2" w:rsidRDefault="00BC5DD2">
      <w:pPr>
        <w:widowControl w:val="0"/>
        <w:rPr>
          <w:rFonts w:ascii="仿宋_GB2312" w:eastAsia="仿宋_GB2312" w:hAnsi="Times New Roman" w:cs="Times New Roman"/>
          <w:sz w:val="32"/>
          <w:szCs w:val="32"/>
        </w:rPr>
      </w:pPr>
    </w:p>
    <w:p w:rsidR="00BC5DD2" w:rsidRDefault="00292456">
      <w:pPr>
        <w:widowControl w:val="0"/>
        <w:ind w:firstLineChars="1700" w:firstLine="5440"/>
        <w:rPr>
          <w:rFonts w:ascii="仿宋_GB2312" w:eastAsia="仿宋_GB2312" w:hAnsi="Times New Roman" w:cs="Times New Roman"/>
          <w:sz w:val="32"/>
          <w:szCs w:val="32"/>
        </w:rPr>
      </w:pPr>
      <w:r>
        <w:rPr>
          <w:rFonts w:ascii="仿宋_GB2312" w:eastAsia="仿宋_GB2312" w:hAnsi="Times New Roman" w:cs="Times New Roman" w:hint="eastAsia"/>
          <w:sz w:val="32"/>
          <w:szCs w:val="32"/>
        </w:rPr>
        <w:t>青岛市科学技术局</w:t>
      </w:r>
    </w:p>
    <w:p w:rsidR="00BC5DD2" w:rsidRDefault="00292456">
      <w:pPr>
        <w:widowControl w:val="0"/>
        <w:ind w:firstLineChars="1700" w:firstLine="5440"/>
        <w:rPr>
          <w:rFonts w:ascii="仿宋_GB2312" w:eastAsia="仿宋_GB2312" w:hAnsi="Times New Roman" w:cs="Times New Roman"/>
          <w:sz w:val="32"/>
          <w:szCs w:val="32"/>
        </w:rPr>
      </w:pPr>
      <w:r>
        <w:rPr>
          <w:rFonts w:ascii="仿宋_GB2312" w:eastAsia="仿宋_GB2312" w:hAnsi="Times New Roman" w:cs="Times New Roman" w:hint="eastAsia"/>
          <w:sz w:val="32"/>
          <w:szCs w:val="32"/>
        </w:rPr>
        <w:t>2026年12月30日</w:t>
      </w:r>
    </w:p>
    <w:p w:rsidR="00BC5DD2" w:rsidRDefault="00292456">
      <w:pPr>
        <w:widowControl w:val="0"/>
        <w:rPr>
          <w:rFonts w:ascii="黑体" w:eastAsia="黑体" w:hAnsi="黑体"/>
          <w:sz w:val="32"/>
          <w:szCs w:val="32"/>
        </w:rPr>
      </w:pPr>
      <w:r>
        <w:br w:type="page"/>
      </w:r>
      <w:r>
        <w:rPr>
          <w:rFonts w:ascii="黑体" w:eastAsia="黑体" w:hAnsi="黑体" w:hint="eastAsia"/>
          <w:sz w:val="32"/>
          <w:szCs w:val="32"/>
        </w:rPr>
        <w:lastRenderedPageBreak/>
        <w:t>附件</w:t>
      </w:r>
    </w:p>
    <w:p w:rsidR="00BC5DD2" w:rsidRDefault="00BC5DD2">
      <w:pPr>
        <w:widowControl w:val="0"/>
        <w:ind w:firstLineChars="200" w:firstLine="640"/>
        <w:rPr>
          <w:rFonts w:ascii="黑体" w:eastAsia="黑体" w:hAnsi="黑体"/>
          <w:sz w:val="32"/>
          <w:szCs w:val="32"/>
        </w:rPr>
      </w:pPr>
    </w:p>
    <w:p w:rsidR="00BC5DD2" w:rsidRDefault="00292456">
      <w:pPr>
        <w:widowControl w:val="0"/>
        <w:ind w:firstLineChars="200" w:firstLine="880"/>
        <w:jc w:val="center"/>
        <w:rPr>
          <w:rFonts w:ascii="方正小标宋_GBK" w:eastAsia="方正小标宋_GBK" w:hAnsi="方正小标宋_GBK" w:cs="方正小标宋_GBK"/>
          <w:sz w:val="44"/>
          <w:szCs w:val="44"/>
        </w:rPr>
      </w:pPr>
      <w:r>
        <w:rPr>
          <w:rFonts w:ascii="方正小标宋_GBK" w:eastAsia="方正小标宋_GBK" w:hAnsi="方正小标宋_GBK" w:cs="方正小标宋_GBK" w:hint="eastAsia"/>
          <w:sz w:val="44"/>
          <w:szCs w:val="44"/>
        </w:rPr>
        <w:t>联合基金项目指南研究方向</w:t>
      </w:r>
    </w:p>
    <w:p w:rsidR="00BC5DD2" w:rsidRDefault="00BC5DD2">
      <w:pPr>
        <w:widowControl w:val="0"/>
        <w:ind w:firstLineChars="200" w:firstLine="640"/>
        <w:rPr>
          <w:rFonts w:ascii="黑体" w:eastAsia="黑体" w:hAnsi="黑体"/>
          <w:sz w:val="32"/>
          <w:szCs w:val="32"/>
        </w:rPr>
      </w:pPr>
    </w:p>
    <w:p w:rsidR="00BC5DD2" w:rsidRDefault="00292456">
      <w:pPr>
        <w:widowControl w:val="0"/>
        <w:ind w:firstLineChars="200" w:firstLine="640"/>
        <w:rPr>
          <w:rFonts w:ascii="黑体" w:eastAsia="黑体" w:hAnsi="黑体"/>
          <w:sz w:val="32"/>
          <w:szCs w:val="32"/>
        </w:rPr>
      </w:pPr>
      <w:r>
        <w:rPr>
          <w:rFonts w:ascii="黑体" w:eastAsia="黑体" w:hAnsi="黑体" w:hint="eastAsia"/>
          <w:sz w:val="32"/>
          <w:szCs w:val="32"/>
        </w:rPr>
        <w:t>一、海尔联合基金</w:t>
      </w:r>
    </w:p>
    <w:p w:rsidR="00BC5DD2" w:rsidRDefault="00292456">
      <w:pPr>
        <w:pStyle w:val="a3"/>
        <w:spacing w:after="0"/>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（一）洗涤耦合力外场下织物外观手感损伤机理及洗涤保护方法研究</w:t>
      </w:r>
    </w:p>
    <w:p w:rsidR="00BC5DD2" w:rsidRDefault="00292456">
      <w:pPr>
        <w:pStyle w:val="a3"/>
        <w:spacing w:after="0"/>
        <w:ind w:firstLineChars="200" w:firstLine="643"/>
        <w:rPr>
          <w:rFonts w:ascii="仿宋_GB2312" w:eastAsia="仿宋_GB2312" w:hAnsi="Times New Roman" w:cs="Times New Roman"/>
          <w:sz w:val="32"/>
          <w:szCs w:val="32"/>
        </w:rPr>
      </w:pPr>
      <w:r>
        <w:rPr>
          <w:rFonts w:ascii="仿宋_GB2312" w:eastAsia="仿宋_GB2312" w:hAnsi="Times New Roman" w:cs="Times New Roman" w:hint="eastAsia"/>
          <w:b/>
          <w:bCs/>
          <w:sz w:val="32"/>
          <w:szCs w:val="32"/>
        </w:rPr>
        <w:t>研究内容</w:t>
      </w:r>
      <w:r>
        <w:rPr>
          <w:rFonts w:ascii="仿宋_GB2312" w:eastAsia="仿宋_GB2312" w:hAnsi="Times New Roman" w:cs="Times New Roman" w:hint="eastAsia"/>
          <w:sz w:val="32"/>
          <w:szCs w:val="32"/>
        </w:rPr>
        <w:t>：针对洗涤后天然毛类织物尺寸稳定性差、表面损伤等问题，研究天然毛类织物纤维特性、织造方法、成衣制作过程中的关键工艺，分析多场景多品类天然毛类织物洗护需求；建立基于纤维-纱线-织物的多尺度天然毛类织物模型，研究机械外力下天然毛类织物内纤维间鳞片嵌合及毛羽抽拔机理；建立洗涤耦合外力场下天然毛类织物缩水模型及起毛起球模型，研究洗涤动力学参数对天然毛类织物尺寸稳定性、表面粗糙度及力学性能变化的作用机理，揭示复杂洗涤耦合外力场下天然毛类织物外观手感变化影响机制；研究天然毛类织物最优洗护方法，实现天然毛类织物的高品质洗护。</w:t>
      </w:r>
    </w:p>
    <w:p w:rsidR="00BC5DD2" w:rsidRDefault="00292456">
      <w:pPr>
        <w:pStyle w:val="a3"/>
        <w:spacing w:after="0"/>
        <w:ind w:firstLineChars="200" w:firstLine="643"/>
        <w:rPr>
          <w:rFonts w:ascii="仿宋_GB2312" w:eastAsia="仿宋_GB2312" w:hAnsi="Times New Roman" w:cs="Times New Roman"/>
          <w:sz w:val="32"/>
          <w:szCs w:val="32"/>
        </w:rPr>
      </w:pPr>
      <w:r>
        <w:rPr>
          <w:rFonts w:ascii="仿宋_GB2312" w:eastAsia="仿宋_GB2312" w:hAnsi="Times New Roman" w:cs="Times New Roman" w:hint="eastAsia"/>
          <w:b/>
          <w:bCs/>
          <w:sz w:val="32"/>
          <w:szCs w:val="32"/>
        </w:rPr>
        <w:t>考核指标</w:t>
      </w:r>
      <w:r>
        <w:rPr>
          <w:rFonts w:ascii="仿宋_GB2312" w:eastAsia="仿宋_GB2312" w:hAnsi="Times New Roman" w:cs="Times New Roman" w:hint="eastAsia"/>
          <w:sz w:val="32"/>
          <w:szCs w:val="32"/>
        </w:rPr>
        <w:t>：天然毛类织物洗涤模型基础理论创新成果不少于2个，包含洗涤耦合外力场下天然毛类织物缩水模型、</w:t>
      </w:r>
      <w:proofErr w:type="gramStart"/>
      <w:r>
        <w:rPr>
          <w:rFonts w:ascii="仿宋_GB2312" w:eastAsia="仿宋_GB2312" w:hAnsi="Times New Roman" w:cs="Times New Roman" w:hint="eastAsia"/>
          <w:sz w:val="32"/>
          <w:szCs w:val="32"/>
        </w:rPr>
        <w:t>涤</w:t>
      </w:r>
      <w:proofErr w:type="gramEnd"/>
      <w:r>
        <w:rPr>
          <w:rFonts w:ascii="仿宋_GB2312" w:eastAsia="仿宋_GB2312" w:hAnsi="Times New Roman" w:cs="Times New Roman" w:hint="eastAsia"/>
          <w:sz w:val="32"/>
          <w:szCs w:val="32"/>
        </w:rPr>
        <w:t>耦合外力场下天然毛类织物起毛起球模型等；形成天然毛类织物消费者研究成果不少于2个，包含天然毛类织物消费者洗护需求分析报告、天然毛类织物洗</w:t>
      </w:r>
      <w:proofErr w:type="gramStart"/>
      <w:r>
        <w:rPr>
          <w:rFonts w:ascii="仿宋_GB2312" w:eastAsia="仿宋_GB2312" w:hAnsi="Times New Roman" w:cs="Times New Roman" w:hint="eastAsia"/>
          <w:sz w:val="32"/>
          <w:szCs w:val="32"/>
        </w:rPr>
        <w:t>护效果</w:t>
      </w:r>
      <w:proofErr w:type="gramEnd"/>
      <w:r>
        <w:rPr>
          <w:rFonts w:ascii="仿宋_GB2312" w:eastAsia="仿宋_GB2312" w:hAnsi="Times New Roman" w:cs="Times New Roman" w:hint="eastAsia"/>
          <w:sz w:val="32"/>
          <w:szCs w:val="32"/>
        </w:rPr>
        <w:t>评价体系等；输出天然毛类织物最优</w:t>
      </w:r>
      <w:r>
        <w:rPr>
          <w:rFonts w:ascii="仿宋_GB2312" w:eastAsia="仿宋_GB2312" w:hAnsi="Times New Roman" w:cs="Times New Roman" w:hint="eastAsia"/>
          <w:sz w:val="32"/>
          <w:szCs w:val="32"/>
        </w:rPr>
        <w:lastRenderedPageBreak/>
        <w:t>洗</w:t>
      </w:r>
      <w:proofErr w:type="gramStart"/>
      <w:r>
        <w:rPr>
          <w:rFonts w:ascii="仿宋_GB2312" w:eastAsia="仿宋_GB2312" w:hAnsi="Times New Roman" w:cs="Times New Roman" w:hint="eastAsia"/>
          <w:sz w:val="32"/>
          <w:szCs w:val="32"/>
        </w:rPr>
        <w:t>护方案</w:t>
      </w:r>
      <w:proofErr w:type="gramEnd"/>
      <w:r>
        <w:rPr>
          <w:rFonts w:ascii="仿宋_GB2312" w:eastAsia="仿宋_GB2312" w:hAnsi="Times New Roman" w:cs="Times New Roman" w:hint="eastAsia"/>
          <w:sz w:val="32"/>
          <w:szCs w:val="32"/>
        </w:rPr>
        <w:t>1套，洗涤后起毛起球等级不低于4级、变形率小于3%；发表高质量论文不少于3篇；申请发明专利不少于2项；培养相关研究领域研究生不少于2人。</w:t>
      </w:r>
    </w:p>
    <w:p w:rsidR="00BC5DD2" w:rsidRDefault="00292456">
      <w:pPr>
        <w:pStyle w:val="a3"/>
        <w:spacing w:after="0"/>
        <w:ind w:firstLineChars="200" w:firstLine="625"/>
        <w:rPr>
          <w:rFonts w:ascii="仿宋_GB2312" w:eastAsia="仿宋_GB2312" w:hAnsi="Times New Roman" w:cs="Times New Roman"/>
          <w:sz w:val="32"/>
          <w:szCs w:val="32"/>
        </w:rPr>
      </w:pPr>
      <w:proofErr w:type="gramStart"/>
      <w:r>
        <w:rPr>
          <w:rFonts w:ascii="仿宋_GB2312" w:eastAsia="仿宋_GB2312" w:hAnsi="Times New Roman" w:cs="Times New Roman" w:hint="eastAsia"/>
          <w:w w:val="98"/>
          <w:sz w:val="32"/>
          <w:szCs w:val="32"/>
        </w:rPr>
        <w:t>拟支持</w:t>
      </w:r>
      <w:proofErr w:type="gramEnd"/>
      <w:r>
        <w:rPr>
          <w:rFonts w:ascii="仿宋_GB2312" w:eastAsia="仿宋_GB2312" w:hAnsi="Times New Roman" w:cs="Times New Roman" w:hint="eastAsia"/>
          <w:w w:val="98"/>
          <w:sz w:val="32"/>
          <w:szCs w:val="32"/>
        </w:rPr>
        <w:t>项目1项，支持额度不超过40万元，项目执行期2年。</w:t>
      </w:r>
    </w:p>
    <w:p w:rsidR="00BC5DD2" w:rsidRDefault="00292456">
      <w:pPr>
        <w:pStyle w:val="a3"/>
        <w:spacing w:after="0"/>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（二）极端工况下R32空调喷射-压缩系统的机理研究</w:t>
      </w:r>
    </w:p>
    <w:p w:rsidR="00BC5DD2" w:rsidRDefault="00292456">
      <w:pPr>
        <w:pStyle w:val="a3"/>
        <w:spacing w:after="0"/>
        <w:ind w:firstLineChars="200" w:firstLine="643"/>
        <w:rPr>
          <w:rFonts w:ascii="仿宋_GB2312" w:eastAsia="仿宋_GB2312" w:hAnsi="Times New Roman" w:cs="Times New Roman"/>
          <w:sz w:val="32"/>
          <w:szCs w:val="32"/>
        </w:rPr>
      </w:pPr>
      <w:r>
        <w:rPr>
          <w:rFonts w:ascii="仿宋_GB2312" w:eastAsia="仿宋_GB2312" w:hAnsi="Times New Roman" w:cs="Times New Roman" w:hint="eastAsia"/>
          <w:b/>
          <w:bCs/>
          <w:sz w:val="32"/>
          <w:szCs w:val="32"/>
        </w:rPr>
        <w:t>研究内容</w:t>
      </w:r>
      <w:r>
        <w:rPr>
          <w:rFonts w:ascii="仿宋_GB2312" w:eastAsia="仿宋_GB2312" w:hAnsi="Times New Roman" w:cs="Times New Roman" w:hint="eastAsia"/>
          <w:sz w:val="32"/>
          <w:szCs w:val="32"/>
        </w:rPr>
        <w:t>：针对R32空调极端高温制冷和低温制热工况下压缩机排气温度过高及系统</w:t>
      </w:r>
      <w:proofErr w:type="gramStart"/>
      <w:r>
        <w:rPr>
          <w:rFonts w:ascii="仿宋_GB2312" w:eastAsia="仿宋_GB2312" w:hAnsi="Times New Roman" w:cs="Times New Roman" w:hint="eastAsia"/>
          <w:sz w:val="32"/>
          <w:szCs w:val="32"/>
        </w:rPr>
        <w:t>能效低</w:t>
      </w:r>
      <w:proofErr w:type="gramEnd"/>
      <w:r>
        <w:rPr>
          <w:rFonts w:ascii="仿宋_GB2312" w:eastAsia="仿宋_GB2312" w:hAnsi="Times New Roman" w:cs="Times New Roman" w:hint="eastAsia"/>
          <w:sz w:val="32"/>
          <w:szCs w:val="32"/>
        </w:rPr>
        <w:t>的问题，研究R32空调喷射-压缩系统的机理，解决喷射器内能量传递及其与空调系统部件匹配的问题，提升R32空调极端工况下的制冷制热性能和系统能效。</w:t>
      </w:r>
    </w:p>
    <w:p w:rsidR="00BC5DD2" w:rsidRDefault="00292456">
      <w:pPr>
        <w:pStyle w:val="a3"/>
        <w:spacing w:after="0"/>
        <w:ind w:firstLineChars="200" w:firstLine="643"/>
        <w:rPr>
          <w:rFonts w:ascii="仿宋_GB2312" w:eastAsia="仿宋_GB2312" w:hAnsi="Times New Roman" w:cs="Times New Roman"/>
          <w:sz w:val="32"/>
          <w:szCs w:val="32"/>
        </w:rPr>
      </w:pPr>
      <w:r>
        <w:rPr>
          <w:rFonts w:ascii="仿宋_GB2312" w:eastAsia="仿宋_GB2312" w:hAnsi="Times New Roman" w:cs="Times New Roman" w:hint="eastAsia"/>
          <w:b/>
          <w:bCs/>
          <w:sz w:val="32"/>
          <w:szCs w:val="32"/>
        </w:rPr>
        <w:t>考核指标</w:t>
      </w:r>
      <w:r>
        <w:rPr>
          <w:rFonts w:ascii="仿宋_GB2312" w:eastAsia="仿宋_GB2312" w:hAnsi="Times New Roman" w:cs="Times New Roman" w:hint="eastAsia"/>
          <w:sz w:val="32"/>
          <w:szCs w:val="32"/>
        </w:rPr>
        <w:t>：取得喷射-压缩循环R32空调等相关基础理论创新成果≥2项；在极端高温环境(46-70℃)工况下，压缩机排气温度降低≥5℃，COP提效≥5%，喷射器效率≥20%；在极端低温环境(-35℃--7℃)工况下，压缩机排气温度降低≥5℃，COP提效≥5%，喷射器效率≥20%。发表高质量论文不少于2篇；申请发明专利不少于2项；培养相关研究领域研究生不少于2人。</w:t>
      </w:r>
    </w:p>
    <w:p w:rsidR="00BC5DD2" w:rsidRDefault="00292456">
      <w:pPr>
        <w:pStyle w:val="a3"/>
        <w:spacing w:after="0"/>
        <w:ind w:firstLineChars="200" w:firstLine="625"/>
        <w:rPr>
          <w:rFonts w:ascii="仿宋_GB2312" w:eastAsia="仿宋_GB2312" w:hAnsi="Times New Roman" w:cs="Times New Roman"/>
          <w:sz w:val="32"/>
          <w:szCs w:val="32"/>
        </w:rPr>
      </w:pPr>
      <w:proofErr w:type="gramStart"/>
      <w:r>
        <w:rPr>
          <w:rFonts w:ascii="仿宋_GB2312" w:eastAsia="仿宋_GB2312" w:hAnsi="Times New Roman" w:cs="Times New Roman" w:hint="eastAsia"/>
          <w:w w:val="98"/>
          <w:sz w:val="32"/>
          <w:szCs w:val="32"/>
        </w:rPr>
        <w:t>拟支持</w:t>
      </w:r>
      <w:proofErr w:type="gramEnd"/>
      <w:r>
        <w:rPr>
          <w:rFonts w:ascii="仿宋_GB2312" w:eastAsia="仿宋_GB2312" w:hAnsi="Times New Roman" w:cs="Times New Roman" w:hint="eastAsia"/>
          <w:w w:val="98"/>
          <w:sz w:val="32"/>
          <w:szCs w:val="32"/>
        </w:rPr>
        <w:t>项目1项，支持额度不超过50万元，项目执行期2年。</w:t>
      </w:r>
    </w:p>
    <w:p w:rsidR="00BC5DD2" w:rsidRDefault="00292456">
      <w:pPr>
        <w:pStyle w:val="a3"/>
        <w:spacing w:after="0"/>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（三）双</w:t>
      </w:r>
      <w:proofErr w:type="gramStart"/>
      <w:r>
        <w:rPr>
          <w:rFonts w:ascii="楷体_GB2312" w:eastAsia="楷体_GB2312" w:hAnsi="楷体_GB2312" w:cs="楷体_GB2312" w:hint="eastAsia"/>
          <w:sz w:val="32"/>
          <w:szCs w:val="32"/>
        </w:rPr>
        <w:t>极</w:t>
      </w:r>
      <w:proofErr w:type="gramEnd"/>
      <w:r>
        <w:rPr>
          <w:rFonts w:ascii="楷体_GB2312" w:eastAsia="楷体_GB2312" w:hAnsi="楷体_GB2312" w:cs="楷体_GB2312" w:hint="eastAsia"/>
          <w:sz w:val="32"/>
          <w:szCs w:val="32"/>
        </w:rPr>
        <w:t>膜构型设计对其离子分离传质性能影响机理研究</w:t>
      </w:r>
    </w:p>
    <w:p w:rsidR="00BC5DD2" w:rsidRDefault="00292456">
      <w:pPr>
        <w:pStyle w:val="a3"/>
        <w:spacing w:after="0"/>
        <w:ind w:firstLineChars="200" w:firstLine="643"/>
        <w:rPr>
          <w:rFonts w:ascii="仿宋_GB2312" w:eastAsia="仿宋_GB2312" w:hAnsi="Times New Roman" w:cs="Times New Roman"/>
          <w:sz w:val="32"/>
          <w:szCs w:val="32"/>
        </w:rPr>
      </w:pPr>
      <w:r>
        <w:rPr>
          <w:rFonts w:ascii="仿宋_GB2312" w:eastAsia="仿宋_GB2312" w:hAnsi="Times New Roman" w:cs="Times New Roman" w:hint="eastAsia"/>
          <w:b/>
          <w:bCs/>
          <w:sz w:val="32"/>
          <w:szCs w:val="32"/>
        </w:rPr>
        <w:t>研究内容</w:t>
      </w:r>
      <w:r>
        <w:rPr>
          <w:rFonts w:ascii="仿宋_GB2312" w:eastAsia="仿宋_GB2312" w:hAnsi="Times New Roman" w:cs="Times New Roman" w:hint="eastAsia"/>
          <w:sz w:val="32"/>
          <w:szCs w:val="32"/>
        </w:rPr>
        <w:t>：聚焦家用净水对小型化、低频换芯的适应性需求，围绕电化学驱动在离子选择性去除与污染物降解方面开展研究。开发新型电</w:t>
      </w:r>
      <w:proofErr w:type="gramStart"/>
      <w:r>
        <w:rPr>
          <w:rFonts w:ascii="仿宋_GB2312" w:eastAsia="仿宋_GB2312" w:hAnsi="Times New Roman" w:cs="Times New Roman" w:hint="eastAsia"/>
          <w:sz w:val="32"/>
          <w:szCs w:val="32"/>
        </w:rPr>
        <w:t>驱膜—</w:t>
      </w:r>
      <w:proofErr w:type="gramEnd"/>
      <w:r>
        <w:rPr>
          <w:rFonts w:ascii="仿宋_GB2312" w:eastAsia="仿宋_GB2312" w:hAnsi="Times New Roman" w:cs="Times New Roman" w:hint="eastAsia"/>
          <w:sz w:val="32"/>
          <w:szCs w:val="32"/>
        </w:rPr>
        <w:t>电极系统，揭示卷式构型对离子传质与电场分布的调控规律。系统分析膜片、电极材料界面传质行为，研究多工况下离子迁移与脱附机理，构建电压、流速等关键参数对</w:t>
      </w:r>
      <w:proofErr w:type="gramStart"/>
      <w:r>
        <w:rPr>
          <w:rFonts w:ascii="仿宋_GB2312" w:eastAsia="仿宋_GB2312" w:hAnsi="Times New Roman" w:cs="Times New Roman" w:hint="eastAsia"/>
          <w:sz w:val="32"/>
          <w:szCs w:val="32"/>
        </w:rPr>
        <w:t>脱盐</w:t>
      </w:r>
      <w:r>
        <w:rPr>
          <w:rFonts w:ascii="仿宋_GB2312" w:eastAsia="仿宋_GB2312" w:hAnsi="Times New Roman" w:cs="Times New Roman" w:hint="eastAsia"/>
          <w:sz w:val="32"/>
          <w:szCs w:val="32"/>
        </w:rPr>
        <w:lastRenderedPageBreak/>
        <w:t>率</w:t>
      </w:r>
      <w:proofErr w:type="gramEnd"/>
      <w:r>
        <w:rPr>
          <w:rFonts w:ascii="仿宋_GB2312" w:eastAsia="仿宋_GB2312" w:hAnsi="Times New Roman" w:cs="Times New Roman" w:hint="eastAsia"/>
          <w:sz w:val="32"/>
          <w:szCs w:val="32"/>
        </w:rPr>
        <w:t>与污染物去除率影响模型。开发高效无损、红外可视化、膜缺陷检测系统，阐明微米级缺陷形成机制及因素，提出工程化缺陷控制与质量一致性策略。</w:t>
      </w:r>
    </w:p>
    <w:p w:rsidR="00BC5DD2" w:rsidRDefault="00292456">
      <w:pPr>
        <w:pStyle w:val="a3"/>
        <w:spacing w:after="0"/>
        <w:ind w:firstLineChars="200" w:firstLine="643"/>
        <w:rPr>
          <w:rFonts w:ascii="仿宋_GB2312" w:eastAsia="仿宋_GB2312" w:hAnsi="Times New Roman" w:cs="Times New Roman"/>
          <w:sz w:val="32"/>
          <w:szCs w:val="32"/>
        </w:rPr>
      </w:pPr>
      <w:r>
        <w:rPr>
          <w:rFonts w:ascii="仿宋_GB2312" w:eastAsia="仿宋_GB2312" w:hAnsi="Times New Roman" w:cs="Times New Roman" w:hint="eastAsia"/>
          <w:b/>
          <w:bCs/>
          <w:sz w:val="32"/>
          <w:szCs w:val="32"/>
        </w:rPr>
        <w:t>考核指标</w:t>
      </w:r>
      <w:r>
        <w:rPr>
          <w:rFonts w:ascii="仿宋_GB2312" w:eastAsia="仿宋_GB2312" w:hAnsi="Times New Roman" w:cs="Times New Roman" w:hint="eastAsia"/>
          <w:sz w:val="32"/>
          <w:szCs w:val="32"/>
        </w:rPr>
        <w:t>：对于家用净水场景，开发高效卷式电化学去离子模块，取得基础理论创新成果不少于2项，使其在净水过程中的硬度去除率(以</w:t>
      </w:r>
      <w:proofErr w:type="spellStart"/>
      <w:r>
        <w:rPr>
          <w:rFonts w:ascii="仿宋_GB2312" w:eastAsia="仿宋_GB2312" w:hAnsi="Times New Roman" w:cs="Times New Roman" w:hint="eastAsia"/>
          <w:sz w:val="32"/>
          <w:szCs w:val="32"/>
        </w:rPr>
        <w:t>CaCO</w:t>
      </w:r>
      <w:proofErr w:type="spellEnd"/>
      <w:r>
        <w:rPr>
          <w:rFonts w:ascii="仿宋_GB2312" w:eastAsia="仿宋_GB2312" w:hAnsi="Times New Roman" w:cs="Times New Roman" w:hint="eastAsia"/>
          <w:sz w:val="32"/>
          <w:szCs w:val="32"/>
        </w:rPr>
        <w:t>₃计)达到≥50%，电导率去除率≥80%，相较平板式组件体积缩减≥50%，符合GB34914标准，净水产水率≥65%；搭建红外可视化无损膜片缺陷检测系统，实现膜片表面及内部微米级缺陷的精准识别及缺陷尺寸半定量，实现膜制备工艺优化以显著提升模块耐用性；发表高质量论文不少于2篇；申请发明专利不少于1项；培养相关研究领域研究生不少于3人。</w:t>
      </w:r>
    </w:p>
    <w:p w:rsidR="00BC5DD2" w:rsidRDefault="00292456">
      <w:pPr>
        <w:pStyle w:val="a3"/>
        <w:spacing w:after="0"/>
        <w:ind w:firstLineChars="200" w:firstLine="625"/>
        <w:rPr>
          <w:rFonts w:ascii="仿宋_GB2312" w:eastAsia="仿宋_GB2312" w:hAnsi="Times New Roman" w:cs="Times New Roman"/>
          <w:sz w:val="32"/>
          <w:szCs w:val="32"/>
        </w:rPr>
      </w:pPr>
      <w:proofErr w:type="gramStart"/>
      <w:r>
        <w:rPr>
          <w:rFonts w:ascii="仿宋_GB2312" w:eastAsia="仿宋_GB2312" w:hAnsi="Times New Roman" w:cs="Times New Roman" w:hint="eastAsia"/>
          <w:w w:val="98"/>
          <w:sz w:val="32"/>
          <w:szCs w:val="32"/>
        </w:rPr>
        <w:t>拟支持</w:t>
      </w:r>
      <w:proofErr w:type="gramEnd"/>
      <w:r>
        <w:rPr>
          <w:rFonts w:ascii="仿宋_GB2312" w:eastAsia="仿宋_GB2312" w:hAnsi="Times New Roman" w:cs="Times New Roman" w:hint="eastAsia"/>
          <w:w w:val="98"/>
          <w:sz w:val="32"/>
          <w:szCs w:val="32"/>
        </w:rPr>
        <w:t>项目1项，支持额度不超过40万元，项目执行期2年。</w:t>
      </w:r>
    </w:p>
    <w:p w:rsidR="00BC5DD2" w:rsidRDefault="00292456">
      <w:pPr>
        <w:pStyle w:val="a3"/>
        <w:spacing w:after="0"/>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（四）面向家电产业智能制造的世界模型构建与供应链全域认知决策研究</w:t>
      </w:r>
    </w:p>
    <w:p w:rsidR="00BC5DD2" w:rsidRDefault="00292456">
      <w:pPr>
        <w:pStyle w:val="a3"/>
        <w:spacing w:after="0"/>
        <w:ind w:firstLineChars="200" w:firstLine="643"/>
        <w:rPr>
          <w:rFonts w:ascii="仿宋_GB2312" w:eastAsia="仿宋_GB2312" w:hAnsi="Times New Roman" w:cs="Times New Roman"/>
          <w:sz w:val="32"/>
          <w:szCs w:val="32"/>
        </w:rPr>
      </w:pPr>
      <w:r>
        <w:rPr>
          <w:rFonts w:ascii="仿宋_GB2312" w:eastAsia="仿宋_GB2312" w:hAnsi="Times New Roman" w:cs="Times New Roman" w:hint="eastAsia"/>
          <w:b/>
          <w:bCs/>
          <w:sz w:val="32"/>
          <w:szCs w:val="32"/>
        </w:rPr>
        <w:t>研究内容</w:t>
      </w:r>
      <w:r>
        <w:rPr>
          <w:rFonts w:ascii="仿宋_GB2312" w:eastAsia="仿宋_GB2312" w:hAnsi="Times New Roman" w:cs="Times New Roman" w:hint="eastAsia"/>
          <w:sz w:val="32"/>
          <w:szCs w:val="32"/>
        </w:rPr>
        <w:t>：聚焦智能制造对供应链高效协同与智能决策的重大需求，开展</w:t>
      </w:r>
      <w:proofErr w:type="gramStart"/>
      <w:r>
        <w:rPr>
          <w:rFonts w:ascii="仿宋_GB2312" w:eastAsia="仿宋_GB2312" w:hAnsi="Times New Roman" w:cs="Times New Roman" w:hint="eastAsia"/>
          <w:sz w:val="32"/>
          <w:szCs w:val="32"/>
        </w:rPr>
        <w:t>基于世界</w:t>
      </w:r>
      <w:proofErr w:type="gramEnd"/>
      <w:r>
        <w:rPr>
          <w:rFonts w:ascii="仿宋_GB2312" w:eastAsia="仿宋_GB2312" w:hAnsi="Times New Roman" w:cs="Times New Roman" w:hint="eastAsia"/>
          <w:sz w:val="32"/>
          <w:szCs w:val="32"/>
        </w:rPr>
        <w:t>模型的新一代供应链认知决策研究。研究家电产业供应</w:t>
      </w:r>
      <w:proofErr w:type="gramStart"/>
      <w:r>
        <w:rPr>
          <w:rFonts w:ascii="仿宋_GB2312" w:eastAsia="仿宋_GB2312" w:hAnsi="Times New Roman" w:cs="Times New Roman" w:hint="eastAsia"/>
          <w:sz w:val="32"/>
          <w:szCs w:val="32"/>
        </w:rPr>
        <w:t>链世界</w:t>
      </w:r>
      <w:proofErr w:type="gramEnd"/>
      <w:r>
        <w:rPr>
          <w:rFonts w:ascii="仿宋_GB2312" w:eastAsia="仿宋_GB2312" w:hAnsi="Times New Roman" w:cs="Times New Roman" w:hint="eastAsia"/>
          <w:sz w:val="32"/>
          <w:szCs w:val="32"/>
        </w:rPr>
        <w:t>模型构建方法，融合全流程多源异构数据，精准表征家电供应链实体、关系、状态与规则；研究全域知识图谱构建与动态推演技术，探索数据驱动优化与领域知识引导相结合的决策路径；研究</w:t>
      </w:r>
      <w:proofErr w:type="gramStart"/>
      <w:r>
        <w:rPr>
          <w:rFonts w:ascii="仿宋_GB2312" w:eastAsia="仿宋_GB2312" w:hAnsi="Times New Roman" w:cs="Times New Roman" w:hint="eastAsia"/>
          <w:sz w:val="32"/>
          <w:szCs w:val="32"/>
        </w:rPr>
        <w:t>基于世界</w:t>
      </w:r>
      <w:proofErr w:type="gramEnd"/>
      <w:r>
        <w:rPr>
          <w:rFonts w:ascii="仿宋_GB2312" w:eastAsia="仿宋_GB2312" w:hAnsi="Times New Roman" w:cs="Times New Roman" w:hint="eastAsia"/>
          <w:sz w:val="32"/>
          <w:szCs w:val="32"/>
        </w:rPr>
        <w:t>模型决策结果的价值溯源方法，阐明关键因素对决策结果的影响机制；构建形成高可信、自适应和</w:t>
      </w:r>
      <w:proofErr w:type="gramStart"/>
      <w:r>
        <w:rPr>
          <w:rFonts w:ascii="仿宋_GB2312" w:eastAsia="仿宋_GB2312" w:hAnsi="Times New Roman" w:cs="Times New Roman" w:hint="eastAsia"/>
          <w:sz w:val="32"/>
          <w:szCs w:val="32"/>
        </w:rPr>
        <w:t>可</w:t>
      </w:r>
      <w:proofErr w:type="gramEnd"/>
      <w:r>
        <w:rPr>
          <w:rFonts w:ascii="仿宋_GB2312" w:eastAsia="仿宋_GB2312" w:hAnsi="Times New Roman" w:cs="Times New Roman" w:hint="eastAsia"/>
          <w:sz w:val="32"/>
          <w:szCs w:val="32"/>
        </w:rPr>
        <w:t>解释的“感知-决策-评估”闭环决策框架，系统提升智能家电</w:t>
      </w:r>
      <w:r>
        <w:rPr>
          <w:rFonts w:ascii="仿宋_GB2312" w:eastAsia="仿宋_GB2312" w:hAnsi="Times New Roman" w:cs="Times New Roman" w:hint="eastAsia"/>
          <w:sz w:val="32"/>
          <w:szCs w:val="32"/>
        </w:rPr>
        <w:lastRenderedPageBreak/>
        <w:t>产业供应链在复杂多变环境下协同决策的鲁棒性、可信度与</w:t>
      </w:r>
      <w:proofErr w:type="gramStart"/>
      <w:r>
        <w:rPr>
          <w:rFonts w:ascii="仿宋_GB2312" w:eastAsia="仿宋_GB2312" w:hAnsi="Times New Roman" w:cs="Times New Roman" w:hint="eastAsia"/>
          <w:sz w:val="32"/>
          <w:szCs w:val="32"/>
        </w:rPr>
        <w:t>敏捷响应</w:t>
      </w:r>
      <w:proofErr w:type="gramEnd"/>
      <w:r>
        <w:rPr>
          <w:rFonts w:ascii="仿宋_GB2312" w:eastAsia="仿宋_GB2312" w:hAnsi="Times New Roman" w:cs="Times New Roman" w:hint="eastAsia"/>
          <w:sz w:val="32"/>
          <w:szCs w:val="32"/>
        </w:rPr>
        <w:t>能力。</w:t>
      </w:r>
    </w:p>
    <w:p w:rsidR="00BC5DD2" w:rsidRDefault="00292456">
      <w:pPr>
        <w:pStyle w:val="a3"/>
        <w:spacing w:after="0"/>
        <w:ind w:firstLineChars="200" w:firstLine="643"/>
        <w:rPr>
          <w:rFonts w:ascii="仿宋_GB2312" w:eastAsia="仿宋_GB2312" w:hAnsi="Times New Roman" w:cs="Times New Roman"/>
          <w:sz w:val="32"/>
          <w:szCs w:val="32"/>
        </w:rPr>
      </w:pPr>
      <w:r>
        <w:rPr>
          <w:rFonts w:ascii="仿宋_GB2312" w:eastAsia="仿宋_GB2312" w:hAnsi="Times New Roman" w:cs="Times New Roman" w:hint="eastAsia"/>
          <w:b/>
          <w:bCs/>
          <w:sz w:val="32"/>
          <w:szCs w:val="32"/>
        </w:rPr>
        <w:t>考核指标</w:t>
      </w:r>
      <w:r>
        <w:rPr>
          <w:rFonts w:ascii="仿宋_GB2312" w:eastAsia="仿宋_GB2312" w:hAnsi="Times New Roman" w:cs="Times New Roman" w:hint="eastAsia"/>
          <w:sz w:val="32"/>
          <w:szCs w:val="32"/>
        </w:rPr>
        <w:t>：突破智能家电产业供应链多要素互联组织、知识构建与协同决策等关键技术，提出具有原创性的新模型或算法不少于3个；研发面向智能家电典型场景的供应链协同优化算法原型系统或决策支持工具集不少于1套。在智能家电头部企业开展应用验证，图表语义自动化提取与理解准确率≥90%，生产计划与执行协同准确率≥90%，决策与业务逻辑契合度提升≥30%，可信决策生成时间缩短≥25%。发表高质量论文不少于3篇；申请发明专利不少于2项；</w:t>
      </w:r>
      <w:proofErr w:type="gramStart"/>
      <w:r>
        <w:rPr>
          <w:rFonts w:ascii="仿宋_GB2312" w:eastAsia="仿宋_GB2312" w:hAnsi="Times New Roman" w:cs="Times New Roman" w:hint="eastAsia"/>
          <w:sz w:val="32"/>
          <w:szCs w:val="32"/>
        </w:rPr>
        <w:t>引育本方向</w:t>
      </w:r>
      <w:proofErr w:type="gramEnd"/>
      <w:r>
        <w:rPr>
          <w:rFonts w:ascii="仿宋_GB2312" w:eastAsia="仿宋_GB2312" w:hAnsi="Times New Roman" w:cs="Times New Roman" w:hint="eastAsia"/>
          <w:sz w:val="32"/>
          <w:szCs w:val="32"/>
        </w:rPr>
        <w:t>专业技术人才或学术骨干不少于2名，培养相关研究领域研究生不少于5人。</w:t>
      </w:r>
    </w:p>
    <w:p w:rsidR="00BC5DD2" w:rsidRDefault="00292456">
      <w:pPr>
        <w:pStyle w:val="a3"/>
        <w:spacing w:after="0"/>
        <w:ind w:firstLineChars="200" w:firstLine="625"/>
        <w:rPr>
          <w:rFonts w:ascii="仿宋_GB2312" w:eastAsia="仿宋_GB2312" w:hAnsi="Times New Roman" w:cs="Times New Roman"/>
          <w:sz w:val="32"/>
          <w:szCs w:val="32"/>
        </w:rPr>
      </w:pPr>
      <w:proofErr w:type="gramStart"/>
      <w:r>
        <w:rPr>
          <w:rFonts w:ascii="仿宋_GB2312" w:eastAsia="仿宋_GB2312" w:hAnsi="Times New Roman" w:cs="Times New Roman" w:hint="eastAsia"/>
          <w:w w:val="98"/>
          <w:sz w:val="32"/>
          <w:szCs w:val="32"/>
        </w:rPr>
        <w:t>拟支持</w:t>
      </w:r>
      <w:proofErr w:type="gramEnd"/>
      <w:r>
        <w:rPr>
          <w:rFonts w:ascii="仿宋_GB2312" w:eastAsia="仿宋_GB2312" w:hAnsi="Times New Roman" w:cs="Times New Roman" w:hint="eastAsia"/>
          <w:w w:val="98"/>
          <w:sz w:val="32"/>
          <w:szCs w:val="32"/>
        </w:rPr>
        <w:t>项目1项，支持额度不超过50万元，项目执行期2年。</w:t>
      </w:r>
    </w:p>
    <w:p w:rsidR="00BC5DD2" w:rsidRDefault="00292456">
      <w:pPr>
        <w:pStyle w:val="a3"/>
        <w:spacing w:after="0"/>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（五）空调全铝换热器管内</w:t>
      </w:r>
      <w:proofErr w:type="gramStart"/>
      <w:r>
        <w:rPr>
          <w:rFonts w:ascii="楷体_GB2312" w:eastAsia="楷体_GB2312" w:hAnsi="楷体_GB2312" w:cs="楷体_GB2312" w:hint="eastAsia"/>
          <w:sz w:val="32"/>
          <w:szCs w:val="32"/>
        </w:rPr>
        <w:t>多级微纳强化</w:t>
      </w:r>
      <w:proofErr w:type="gramEnd"/>
      <w:r>
        <w:rPr>
          <w:rFonts w:ascii="楷体_GB2312" w:eastAsia="楷体_GB2312" w:hAnsi="楷体_GB2312" w:cs="楷体_GB2312" w:hint="eastAsia"/>
          <w:sz w:val="32"/>
          <w:szCs w:val="32"/>
        </w:rPr>
        <w:t>结构换热机理研究</w:t>
      </w:r>
    </w:p>
    <w:p w:rsidR="00BC5DD2" w:rsidRDefault="00292456">
      <w:pPr>
        <w:pStyle w:val="a3"/>
        <w:spacing w:after="0"/>
        <w:ind w:firstLineChars="200" w:firstLine="643"/>
        <w:rPr>
          <w:rFonts w:ascii="仿宋_GB2312" w:eastAsia="仿宋_GB2312" w:hAnsi="Times New Roman" w:cs="Times New Roman"/>
          <w:sz w:val="32"/>
          <w:szCs w:val="32"/>
        </w:rPr>
      </w:pPr>
      <w:r>
        <w:rPr>
          <w:rFonts w:ascii="仿宋_GB2312" w:eastAsia="仿宋_GB2312" w:hAnsi="Times New Roman" w:cs="Times New Roman" w:hint="eastAsia"/>
          <w:b/>
          <w:bCs/>
          <w:sz w:val="32"/>
          <w:szCs w:val="32"/>
        </w:rPr>
        <w:t>研究内容</w:t>
      </w:r>
      <w:r>
        <w:rPr>
          <w:rFonts w:ascii="仿宋_GB2312" w:eastAsia="仿宋_GB2312" w:hAnsi="Times New Roman" w:cs="Times New Roman" w:hint="eastAsia"/>
          <w:sz w:val="32"/>
          <w:szCs w:val="32"/>
        </w:rPr>
        <w:t>：围绕全铝管翅式换热器的管内结构优化开展系统性研究，建立三维多物理场模型并通过实验验证，实现快速、精准的结构迭代。研究高频焊在线拉拔、旋切缩口及隧道炉焊接中的应用，实现翅片与换热管的低热阻连接。通过多目标模型综合平衡换热、压降、结构稳定性与经济性，解决多尺度结构协同强化机理不清、评价体系不完善、传统工艺效率与可靠性不足以及多工况下结构组合最优方案难以确定等关键问题。</w:t>
      </w:r>
    </w:p>
    <w:p w:rsidR="00BC5DD2" w:rsidRDefault="00292456">
      <w:pPr>
        <w:pStyle w:val="a3"/>
        <w:spacing w:after="0"/>
        <w:ind w:firstLineChars="200" w:firstLine="643"/>
        <w:rPr>
          <w:rFonts w:ascii="仿宋_GB2312" w:eastAsia="仿宋_GB2312" w:hAnsi="Times New Roman" w:cs="Times New Roman"/>
          <w:sz w:val="32"/>
          <w:szCs w:val="32"/>
        </w:rPr>
      </w:pPr>
      <w:r>
        <w:rPr>
          <w:rFonts w:ascii="仿宋_GB2312" w:eastAsia="仿宋_GB2312" w:hAnsi="Times New Roman" w:cs="Times New Roman" w:hint="eastAsia"/>
          <w:b/>
          <w:bCs/>
          <w:sz w:val="32"/>
          <w:szCs w:val="32"/>
        </w:rPr>
        <w:t>考核指标</w:t>
      </w:r>
      <w:r>
        <w:rPr>
          <w:rFonts w:ascii="仿宋_GB2312" w:eastAsia="仿宋_GB2312" w:hAnsi="Times New Roman" w:cs="Times New Roman" w:hint="eastAsia"/>
          <w:sz w:val="32"/>
          <w:szCs w:val="32"/>
        </w:rPr>
        <w:t>：建立全铝换热器的管内结构设计方法与一体化新工艺。设计8种以上</w:t>
      </w:r>
      <w:proofErr w:type="gramStart"/>
      <w:r>
        <w:rPr>
          <w:rFonts w:ascii="仿宋_GB2312" w:eastAsia="仿宋_GB2312" w:hAnsi="Times New Roman" w:cs="Times New Roman" w:hint="eastAsia"/>
          <w:sz w:val="32"/>
          <w:szCs w:val="32"/>
        </w:rPr>
        <w:t>多级微纳强化</w:t>
      </w:r>
      <w:proofErr w:type="gramEnd"/>
      <w:r>
        <w:rPr>
          <w:rFonts w:ascii="仿宋_GB2312" w:eastAsia="仿宋_GB2312" w:hAnsi="Times New Roman" w:cs="Times New Roman" w:hint="eastAsia"/>
          <w:sz w:val="32"/>
          <w:szCs w:val="32"/>
        </w:rPr>
        <w:t>结构，使其在空调蒸发与冷凝</w:t>
      </w:r>
      <w:r>
        <w:rPr>
          <w:rFonts w:ascii="仿宋_GB2312" w:eastAsia="仿宋_GB2312" w:hAnsi="Times New Roman" w:cs="Times New Roman" w:hint="eastAsia"/>
          <w:sz w:val="32"/>
          <w:szCs w:val="32"/>
        </w:rPr>
        <w:lastRenderedPageBreak/>
        <w:t>工况下实现制冷剂侧换热系数较铜管提升≥10%、</w:t>
      </w:r>
      <w:proofErr w:type="gramStart"/>
      <w:r>
        <w:rPr>
          <w:rFonts w:ascii="仿宋_GB2312" w:eastAsia="仿宋_GB2312" w:hAnsi="Times New Roman" w:cs="Times New Roman" w:hint="eastAsia"/>
          <w:sz w:val="32"/>
          <w:szCs w:val="32"/>
        </w:rPr>
        <w:t>管翅间</w:t>
      </w:r>
      <w:proofErr w:type="gramEnd"/>
      <w:r>
        <w:rPr>
          <w:rFonts w:ascii="仿宋_GB2312" w:eastAsia="仿宋_GB2312" w:hAnsi="Times New Roman" w:cs="Times New Roman" w:hint="eastAsia"/>
          <w:sz w:val="32"/>
          <w:szCs w:val="32"/>
        </w:rPr>
        <w:t>接触热阻降低≥5%。建立适用于R32、R1234yf等新型制冷剂的铝管结构耦合CFD模型，模拟与实验误差不超过±18%。开发1套</w:t>
      </w:r>
      <w:proofErr w:type="gramStart"/>
      <w:r>
        <w:rPr>
          <w:rFonts w:ascii="仿宋_GB2312" w:eastAsia="仿宋_GB2312" w:hAnsi="Times New Roman" w:cs="Times New Roman" w:hint="eastAsia"/>
          <w:sz w:val="32"/>
          <w:szCs w:val="32"/>
        </w:rPr>
        <w:t>一</w:t>
      </w:r>
      <w:proofErr w:type="gramEnd"/>
      <w:r>
        <w:rPr>
          <w:rFonts w:ascii="仿宋_GB2312" w:eastAsia="仿宋_GB2312" w:hAnsi="Times New Roman" w:cs="Times New Roman" w:hint="eastAsia"/>
          <w:sz w:val="32"/>
          <w:szCs w:val="32"/>
        </w:rPr>
        <w:t>体式全铝换热管制造工艺，</w:t>
      </w:r>
      <w:proofErr w:type="gramStart"/>
      <w:r>
        <w:rPr>
          <w:rFonts w:ascii="仿宋_GB2312" w:eastAsia="仿宋_GB2312" w:hAnsi="Times New Roman" w:cs="Times New Roman" w:hint="eastAsia"/>
          <w:sz w:val="32"/>
          <w:szCs w:val="32"/>
        </w:rPr>
        <w:t>实现齿型完整性</w:t>
      </w:r>
      <w:proofErr w:type="gramEnd"/>
      <w:r>
        <w:rPr>
          <w:rFonts w:ascii="仿宋_GB2312" w:eastAsia="仿宋_GB2312" w:hAnsi="Times New Roman" w:cs="Times New Roman" w:hint="eastAsia"/>
          <w:sz w:val="32"/>
          <w:szCs w:val="32"/>
        </w:rPr>
        <w:t>合格率≥97%。管材成本较铜管降低≥65%，全生命周期能耗减少≥12%，制定全铝换热器设计规范1项，推动技术成果在至少1家家电企业实现转化应用。发表高质量论文不少于4篇，申请发明专利不少于6项，培养相关研究领域研究生不少于7人。</w:t>
      </w:r>
    </w:p>
    <w:p w:rsidR="00BC5DD2" w:rsidRDefault="00292456">
      <w:pPr>
        <w:pStyle w:val="a3"/>
        <w:spacing w:after="0"/>
        <w:ind w:firstLineChars="200" w:firstLine="625"/>
        <w:rPr>
          <w:rFonts w:ascii="仿宋_GB2312" w:eastAsia="仿宋_GB2312" w:hAnsi="Times New Roman" w:cs="Times New Roman"/>
          <w:w w:val="98"/>
          <w:sz w:val="32"/>
          <w:szCs w:val="32"/>
        </w:rPr>
      </w:pPr>
      <w:proofErr w:type="gramStart"/>
      <w:r>
        <w:rPr>
          <w:rFonts w:ascii="仿宋_GB2312" w:eastAsia="仿宋_GB2312" w:hAnsi="Times New Roman" w:cs="Times New Roman" w:hint="eastAsia"/>
          <w:w w:val="98"/>
          <w:sz w:val="32"/>
          <w:szCs w:val="32"/>
        </w:rPr>
        <w:t>拟支持</w:t>
      </w:r>
      <w:proofErr w:type="gramEnd"/>
      <w:r>
        <w:rPr>
          <w:rFonts w:ascii="仿宋_GB2312" w:eastAsia="仿宋_GB2312" w:hAnsi="Times New Roman" w:cs="Times New Roman" w:hint="eastAsia"/>
          <w:w w:val="98"/>
          <w:sz w:val="32"/>
          <w:szCs w:val="32"/>
        </w:rPr>
        <w:t>项目1项，支持额度不超过40万元，项目执行期2年。</w:t>
      </w:r>
    </w:p>
    <w:p w:rsidR="00BC5DD2" w:rsidRDefault="00292456">
      <w:pPr>
        <w:pStyle w:val="a3"/>
        <w:spacing w:after="0"/>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（六）面向电力市场的气象大模型与电力供需预测技术研究</w:t>
      </w:r>
    </w:p>
    <w:p w:rsidR="00BC5DD2" w:rsidRDefault="00292456">
      <w:pPr>
        <w:pStyle w:val="a3"/>
        <w:spacing w:after="0"/>
        <w:ind w:firstLineChars="200" w:firstLine="643"/>
        <w:rPr>
          <w:rFonts w:ascii="仿宋_GB2312" w:eastAsia="仿宋_GB2312" w:hAnsi="Times New Roman" w:cs="Times New Roman"/>
          <w:sz w:val="32"/>
          <w:szCs w:val="32"/>
        </w:rPr>
      </w:pPr>
      <w:r>
        <w:rPr>
          <w:rFonts w:ascii="仿宋_GB2312" w:eastAsia="仿宋_GB2312" w:hAnsi="Times New Roman" w:cs="Times New Roman" w:hint="eastAsia"/>
          <w:b/>
          <w:bCs/>
          <w:sz w:val="32"/>
          <w:szCs w:val="32"/>
        </w:rPr>
        <w:t>研究内容</w:t>
      </w:r>
      <w:r>
        <w:rPr>
          <w:rFonts w:ascii="仿宋_GB2312" w:eastAsia="仿宋_GB2312" w:hAnsi="Times New Roman" w:cs="Times New Roman" w:hint="eastAsia"/>
          <w:sz w:val="32"/>
          <w:szCs w:val="32"/>
        </w:rPr>
        <w:t>：针对电价预测中涉及的新能源出力、电力负荷及其受气</w:t>
      </w:r>
      <w:proofErr w:type="gramStart"/>
      <w:r>
        <w:rPr>
          <w:rFonts w:ascii="仿宋_GB2312" w:eastAsia="仿宋_GB2312" w:hAnsi="Times New Roman" w:cs="Times New Roman" w:hint="eastAsia"/>
          <w:sz w:val="32"/>
          <w:szCs w:val="32"/>
        </w:rPr>
        <w:t>象</w:t>
      </w:r>
      <w:proofErr w:type="gramEnd"/>
      <w:r>
        <w:rPr>
          <w:rFonts w:ascii="仿宋_GB2312" w:eastAsia="仿宋_GB2312" w:hAnsi="Times New Roman" w:cs="Times New Roman" w:hint="eastAsia"/>
          <w:sz w:val="32"/>
          <w:szCs w:val="32"/>
        </w:rPr>
        <w:t>条件影响而产生波动的不确定性难题，开展气象大模型与电力供需预测研究。构建电力气象预报大模型、新能源出力预测模型和负荷预测模型，揭示百米风速、辐照、云量、温度等关键气象要素的演变规律，阐明气象与电力供需两侧的不确定性特征及其耦合关系。实现电力气象要素长时间尺度预报，支撑新能源出力的超短期、短期和中期预测，以及负荷的短期与中期预测，为电价预测、新能源消纳和市场稳定运行提供基础。</w:t>
      </w:r>
    </w:p>
    <w:p w:rsidR="00BC5DD2" w:rsidRDefault="00292456">
      <w:pPr>
        <w:pStyle w:val="a3"/>
        <w:spacing w:after="0"/>
        <w:ind w:firstLineChars="200" w:firstLine="643"/>
        <w:rPr>
          <w:rFonts w:ascii="仿宋_GB2312" w:eastAsia="仿宋_GB2312" w:hAnsi="Times New Roman" w:cs="Times New Roman"/>
          <w:sz w:val="32"/>
          <w:szCs w:val="32"/>
        </w:rPr>
      </w:pPr>
      <w:r>
        <w:rPr>
          <w:rFonts w:ascii="仿宋_GB2312" w:eastAsia="仿宋_GB2312" w:hAnsi="Times New Roman" w:cs="Times New Roman" w:hint="eastAsia"/>
          <w:b/>
          <w:bCs/>
          <w:sz w:val="32"/>
          <w:szCs w:val="32"/>
        </w:rPr>
        <w:t>考核指标</w:t>
      </w:r>
      <w:r>
        <w:rPr>
          <w:rFonts w:ascii="仿宋_GB2312" w:eastAsia="仿宋_GB2312" w:hAnsi="Times New Roman" w:cs="Times New Roman" w:hint="eastAsia"/>
          <w:sz w:val="32"/>
          <w:szCs w:val="32"/>
        </w:rPr>
        <w:t>：构建电力气象预报大模型、新能源出力预测模型、负荷预测模型，达到预期精度指标为电力气象预报大模型参数量≥1亿，区域气象大模型关键要素有效预报时长（2米气温，ACC&gt;0.6）≥10天，新能源短期出力预测准确率≥80%。发表高质</w:t>
      </w:r>
      <w:r>
        <w:rPr>
          <w:rFonts w:ascii="仿宋_GB2312" w:eastAsia="仿宋_GB2312" w:hAnsi="Times New Roman" w:cs="Times New Roman" w:hint="eastAsia"/>
          <w:sz w:val="32"/>
          <w:szCs w:val="32"/>
        </w:rPr>
        <w:lastRenderedPageBreak/>
        <w:t>量论文不少于2篇，申请发明专利不少于1项，登记软件著作权不少于1项，培养相关研究领域研究生不少于2人。</w:t>
      </w:r>
    </w:p>
    <w:p w:rsidR="00BC5DD2" w:rsidRDefault="00292456">
      <w:pPr>
        <w:pStyle w:val="a3"/>
        <w:spacing w:after="0"/>
        <w:ind w:firstLineChars="200" w:firstLine="625"/>
        <w:rPr>
          <w:rFonts w:ascii="仿宋_GB2312" w:eastAsia="仿宋_GB2312" w:hAnsi="Times New Roman" w:cs="Times New Roman"/>
          <w:w w:val="98"/>
          <w:sz w:val="32"/>
          <w:szCs w:val="32"/>
        </w:rPr>
      </w:pPr>
      <w:proofErr w:type="gramStart"/>
      <w:r>
        <w:rPr>
          <w:rFonts w:ascii="仿宋_GB2312" w:eastAsia="仿宋_GB2312" w:hAnsi="Times New Roman" w:cs="Times New Roman" w:hint="eastAsia"/>
          <w:w w:val="98"/>
          <w:sz w:val="32"/>
          <w:szCs w:val="32"/>
        </w:rPr>
        <w:t>拟支持</w:t>
      </w:r>
      <w:proofErr w:type="gramEnd"/>
      <w:r>
        <w:rPr>
          <w:rFonts w:ascii="仿宋_GB2312" w:eastAsia="仿宋_GB2312" w:hAnsi="Times New Roman" w:cs="Times New Roman" w:hint="eastAsia"/>
          <w:w w:val="98"/>
          <w:sz w:val="32"/>
          <w:szCs w:val="32"/>
        </w:rPr>
        <w:t>项目1项，支持额度不超过50万元，项目执行期2年。</w:t>
      </w:r>
    </w:p>
    <w:p w:rsidR="00BC5DD2" w:rsidRDefault="00292456">
      <w:pPr>
        <w:pStyle w:val="a3"/>
        <w:spacing w:after="0"/>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（七）生成</w:t>
      </w:r>
      <w:proofErr w:type="gramStart"/>
      <w:r>
        <w:rPr>
          <w:rFonts w:ascii="楷体_GB2312" w:eastAsia="楷体_GB2312" w:hAnsi="楷体_GB2312" w:cs="楷体_GB2312" w:hint="eastAsia"/>
          <w:sz w:val="32"/>
          <w:szCs w:val="32"/>
        </w:rPr>
        <w:t>式世界</w:t>
      </w:r>
      <w:proofErr w:type="gramEnd"/>
      <w:r>
        <w:rPr>
          <w:rFonts w:ascii="楷体_GB2312" w:eastAsia="楷体_GB2312" w:hAnsi="楷体_GB2312" w:cs="楷体_GB2312" w:hint="eastAsia"/>
          <w:sz w:val="32"/>
          <w:szCs w:val="32"/>
        </w:rPr>
        <w:t>模型驱动的复杂系统能效优化理论与方法研究</w:t>
      </w:r>
    </w:p>
    <w:p w:rsidR="00BC5DD2" w:rsidRDefault="00292456">
      <w:pPr>
        <w:pStyle w:val="a3"/>
        <w:spacing w:after="0"/>
        <w:ind w:firstLineChars="200" w:firstLine="643"/>
        <w:rPr>
          <w:rFonts w:ascii="仿宋_GB2312" w:eastAsia="仿宋_GB2312" w:hAnsi="Times New Roman" w:cs="Times New Roman"/>
          <w:sz w:val="32"/>
          <w:szCs w:val="32"/>
        </w:rPr>
      </w:pPr>
      <w:r>
        <w:rPr>
          <w:rFonts w:ascii="仿宋_GB2312" w:eastAsia="仿宋_GB2312" w:hAnsi="Times New Roman" w:cs="Times New Roman" w:hint="eastAsia"/>
          <w:b/>
          <w:bCs/>
          <w:sz w:val="32"/>
          <w:szCs w:val="32"/>
        </w:rPr>
        <w:t>研究内容</w:t>
      </w:r>
      <w:r>
        <w:rPr>
          <w:rFonts w:ascii="仿宋_GB2312" w:eastAsia="仿宋_GB2312" w:hAnsi="Times New Roman" w:cs="Times New Roman" w:hint="eastAsia"/>
          <w:sz w:val="32"/>
          <w:szCs w:val="32"/>
        </w:rPr>
        <w:t>：围绕家电</w:t>
      </w:r>
      <w:proofErr w:type="gramStart"/>
      <w:r>
        <w:rPr>
          <w:rFonts w:ascii="仿宋_GB2312" w:eastAsia="仿宋_GB2312" w:hAnsi="Times New Roman" w:cs="Times New Roman" w:hint="eastAsia"/>
          <w:sz w:val="32"/>
          <w:szCs w:val="32"/>
        </w:rPr>
        <w:t>焓</w:t>
      </w:r>
      <w:proofErr w:type="gramEnd"/>
      <w:r>
        <w:rPr>
          <w:rFonts w:ascii="仿宋_GB2312" w:eastAsia="仿宋_GB2312" w:hAnsi="Times New Roman" w:cs="Times New Roman" w:hint="eastAsia"/>
          <w:sz w:val="32"/>
          <w:szCs w:val="32"/>
        </w:rPr>
        <w:t>差实验室等复杂系统能耗高的问题，开展基于生成式人工智能的世界模型构建与多参数协同优化控制研究，研究复杂动态环境下</w:t>
      </w:r>
      <w:proofErr w:type="gramStart"/>
      <w:r>
        <w:rPr>
          <w:rFonts w:ascii="仿宋_GB2312" w:eastAsia="仿宋_GB2312" w:hAnsi="Times New Roman" w:cs="Times New Roman" w:hint="eastAsia"/>
          <w:sz w:val="32"/>
          <w:szCs w:val="32"/>
        </w:rPr>
        <w:t>焓</w:t>
      </w:r>
      <w:proofErr w:type="gramEnd"/>
      <w:r>
        <w:rPr>
          <w:rFonts w:ascii="仿宋_GB2312" w:eastAsia="仿宋_GB2312" w:hAnsi="Times New Roman" w:cs="Times New Roman" w:hint="eastAsia"/>
          <w:sz w:val="32"/>
          <w:szCs w:val="32"/>
        </w:rPr>
        <w:t>差实验室生成</w:t>
      </w:r>
      <w:proofErr w:type="gramStart"/>
      <w:r>
        <w:rPr>
          <w:rFonts w:ascii="仿宋_GB2312" w:eastAsia="仿宋_GB2312" w:hAnsi="Times New Roman" w:cs="Times New Roman" w:hint="eastAsia"/>
          <w:sz w:val="32"/>
          <w:szCs w:val="32"/>
        </w:rPr>
        <w:t>式世界</w:t>
      </w:r>
      <w:proofErr w:type="gramEnd"/>
      <w:r>
        <w:rPr>
          <w:rFonts w:ascii="仿宋_GB2312" w:eastAsia="仿宋_GB2312" w:hAnsi="Times New Roman" w:cs="Times New Roman" w:hint="eastAsia"/>
          <w:sz w:val="32"/>
          <w:szCs w:val="32"/>
        </w:rPr>
        <w:t>模型的高精度表征和多参数强耦合约束下的高效最优控制策略，阐明关键控制参数与系统能效间的非线性映射规律与动态耦合机制，实现系统节能增效的目的。</w:t>
      </w:r>
    </w:p>
    <w:p w:rsidR="00BC5DD2" w:rsidRDefault="00292456">
      <w:pPr>
        <w:pStyle w:val="a3"/>
        <w:spacing w:after="0"/>
        <w:ind w:firstLineChars="200" w:firstLine="643"/>
        <w:rPr>
          <w:rFonts w:ascii="仿宋_GB2312" w:eastAsia="仿宋_GB2312" w:hAnsi="Times New Roman" w:cs="Times New Roman"/>
          <w:sz w:val="32"/>
          <w:szCs w:val="32"/>
        </w:rPr>
      </w:pPr>
      <w:r>
        <w:rPr>
          <w:rFonts w:ascii="仿宋_GB2312" w:eastAsia="仿宋_GB2312" w:hAnsi="Times New Roman" w:cs="Times New Roman" w:hint="eastAsia"/>
          <w:b/>
          <w:bCs/>
          <w:sz w:val="32"/>
          <w:szCs w:val="32"/>
        </w:rPr>
        <w:t>考核指标</w:t>
      </w:r>
      <w:r>
        <w:rPr>
          <w:rFonts w:ascii="仿宋_GB2312" w:eastAsia="仿宋_GB2312" w:hAnsi="Times New Roman" w:cs="Times New Roman" w:hint="eastAsia"/>
          <w:sz w:val="32"/>
          <w:szCs w:val="32"/>
        </w:rPr>
        <w:t>：研发生成</w:t>
      </w:r>
      <w:proofErr w:type="gramStart"/>
      <w:r>
        <w:rPr>
          <w:rFonts w:ascii="仿宋_GB2312" w:eastAsia="仿宋_GB2312" w:hAnsi="Times New Roman" w:cs="Times New Roman" w:hint="eastAsia"/>
          <w:sz w:val="32"/>
          <w:szCs w:val="32"/>
        </w:rPr>
        <w:t>式世界</w:t>
      </w:r>
      <w:proofErr w:type="gramEnd"/>
      <w:r>
        <w:rPr>
          <w:rFonts w:ascii="仿宋_GB2312" w:eastAsia="仿宋_GB2312" w:hAnsi="Times New Roman" w:cs="Times New Roman" w:hint="eastAsia"/>
          <w:sz w:val="32"/>
          <w:szCs w:val="32"/>
        </w:rPr>
        <w:t>模型构建、强化学习策略搜索与摊销推理实时控制等核心算法，形成可示范的</w:t>
      </w:r>
      <w:proofErr w:type="gramStart"/>
      <w:r>
        <w:rPr>
          <w:rFonts w:ascii="仿宋_GB2312" w:eastAsia="仿宋_GB2312" w:hAnsi="Times New Roman" w:cs="Times New Roman" w:hint="eastAsia"/>
          <w:sz w:val="32"/>
          <w:szCs w:val="32"/>
        </w:rPr>
        <w:t>焓</w:t>
      </w:r>
      <w:proofErr w:type="gramEnd"/>
      <w:r>
        <w:rPr>
          <w:rFonts w:ascii="仿宋_GB2312" w:eastAsia="仿宋_GB2312" w:hAnsi="Times New Roman" w:cs="Times New Roman" w:hint="eastAsia"/>
          <w:sz w:val="32"/>
          <w:szCs w:val="32"/>
        </w:rPr>
        <w:t>差实验室智能控制系统1套。实现实验室自身运行能耗相比传统固定工况控制策略降低≥15%，推动技术成果在至少1家家电企业实现转化应用。发表高质量论文不少于2篇，申请发明专利不少于1项，登记软件著作权不少于1项，培养相关研究领域研究生不少于2人。</w:t>
      </w:r>
    </w:p>
    <w:p w:rsidR="00BC5DD2" w:rsidRDefault="00292456">
      <w:pPr>
        <w:pStyle w:val="a3"/>
        <w:spacing w:after="0"/>
        <w:ind w:firstLineChars="200" w:firstLine="625"/>
        <w:rPr>
          <w:rFonts w:ascii="仿宋_GB2312" w:eastAsia="仿宋_GB2312" w:hAnsi="Times New Roman" w:cs="Times New Roman"/>
          <w:w w:val="98"/>
          <w:sz w:val="32"/>
          <w:szCs w:val="32"/>
        </w:rPr>
      </w:pPr>
      <w:proofErr w:type="gramStart"/>
      <w:r>
        <w:rPr>
          <w:rFonts w:ascii="仿宋_GB2312" w:eastAsia="仿宋_GB2312" w:hAnsi="Times New Roman" w:cs="Times New Roman" w:hint="eastAsia"/>
          <w:w w:val="98"/>
          <w:sz w:val="32"/>
          <w:szCs w:val="32"/>
        </w:rPr>
        <w:t>拟支持</w:t>
      </w:r>
      <w:proofErr w:type="gramEnd"/>
      <w:r>
        <w:rPr>
          <w:rFonts w:ascii="仿宋_GB2312" w:eastAsia="仿宋_GB2312" w:hAnsi="Times New Roman" w:cs="Times New Roman" w:hint="eastAsia"/>
          <w:w w:val="98"/>
          <w:sz w:val="32"/>
          <w:szCs w:val="32"/>
        </w:rPr>
        <w:t>项目1项，支持额度不超过40万元，项目执行期2年。</w:t>
      </w:r>
    </w:p>
    <w:p w:rsidR="00BC5DD2" w:rsidRDefault="00292456">
      <w:pPr>
        <w:pStyle w:val="a3"/>
        <w:spacing w:after="0"/>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（八）跨材质大视场复杂环境下的高分辨色差检测方法研究</w:t>
      </w:r>
    </w:p>
    <w:p w:rsidR="00BC5DD2" w:rsidRDefault="00292456">
      <w:pPr>
        <w:pStyle w:val="a3"/>
        <w:spacing w:after="0"/>
        <w:ind w:firstLineChars="200" w:firstLine="643"/>
        <w:rPr>
          <w:rFonts w:ascii="仿宋_GB2312" w:eastAsia="仿宋_GB2312" w:hAnsi="Times New Roman" w:cs="Times New Roman"/>
          <w:sz w:val="32"/>
          <w:szCs w:val="32"/>
        </w:rPr>
      </w:pPr>
      <w:r>
        <w:rPr>
          <w:rFonts w:ascii="仿宋_GB2312" w:eastAsia="仿宋_GB2312" w:hAnsi="Times New Roman" w:cs="Times New Roman" w:hint="eastAsia"/>
          <w:b/>
          <w:bCs/>
          <w:sz w:val="32"/>
          <w:szCs w:val="32"/>
        </w:rPr>
        <w:t>研究内容</w:t>
      </w:r>
      <w:r>
        <w:rPr>
          <w:rFonts w:ascii="仿宋_GB2312" w:eastAsia="仿宋_GB2312" w:hAnsi="Times New Roman" w:cs="Times New Roman" w:hint="eastAsia"/>
          <w:sz w:val="32"/>
          <w:szCs w:val="32"/>
        </w:rPr>
        <w:t>：针对家电、新型复合材料等工业制造领域在跨材质、复杂纹理和多场景条件下的色差检测需求，突破传统D/8、45/0等色差测量方案在大视场和高光泽材料测量上的局限，建</w:t>
      </w:r>
      <w:r>
        <w:rPr>
          <w:rFonts w:ascii="仿宋_GB2312" w:eastAsia="仿宋_GB2312" w:hAnsi="Times New Roman" w:cs="Times New Roman" w:hint="eastAsia"/>
          <w:sz w:val="32"/>
          <w:szCs w:val="32"/>
        </w:rPr>
        <w:lastRenderedPageBreak/>
        <w:t>立多角度测量与光路仿真模型，解析高光泽与粗糙纹理的表观颜色变化机理；构建斜入射对称光源与彩色/激光</w:t>
      </w:r>
      <w:proofErr w:type="gramStart"/>
      <w:r>
        <w:rPr>
          <w:rFonts w:ascii="仿宋_GB2312" w:eastAsia="仿宋_GB2312" w:hAnsi="Times New Roman" w:cs="Times New Roman" w:hint="eastAsia"/>
          <w:sz w:val="32"/>
          <w:szCs w:val="32"/>
        </w:rPr>
        <w:t>相机双</w:t>
      </w:r>
      <w:proofErr w:type="gramEnd"/>
      <w:r>
        <w:rPr>
          <w:rFonts w:ascii="仿宋_GB2312" w:eastAsia="仿宋_GB2312" w:hAnsi="Times New Roman" w:cs="Times New Roman" w:hint="eastAsia"/>
          <w:sz w:val="32"/>
          <w:szCs w:val="32"/>
        </w:rPr>
        <w:t>感知平台，实现大视场、照度均匀和跨材质检测；研究光源相机标定板三重标定体系及人工智能标定补偿算法，开发纹理分离、颗粒补偿和光泽斜率补偿算法；实现空间颜色一体化建模和容差智能判定，研制支持纹理扩展的智能视觉测色设备样机。</w:t>
      </w:r>
    </w:p>
    <w:p w:rsidR="00BC5DD2" w:rsidRDefault="00292456">
      <w:pPr>
        <w:pStyle w:val="a3"/>
        <w:spacing w:after="0"/>
        <w:ind w:firstLineChars="200" w:firstLine="643"/>
        <w:rPr>
          <w:rFonts w:ascii="仿宋_GB2312" w:eastAsia="仿宋_GB2312" w:hAnsi="Times New Roman" w:cs="Times New Roman"/>
          <w:sz w:val="32"/>
          <w:szCs w:val="32"/>
        </w:rPr>
      </w:pPr>
      <w:r>
        <w:rPr>
          <w:rFonts w:ascii="仿宋_GB2312" w:eastAsia="仿宋_GB2312" w:hAnsi="Times New Roman" w:cs="Times New Roman" w:hint="eastAsia"/>
          <w:b/>
          <w:bCs/>
          <w:sz w:val="32"/>
          <w:szCs w:val="32"/>
        </w:rPr>
        <w:t>考核指标</w:t>
      </w:r>
      <w:r>
        <w:rPr>
          <w:rFonts w:ascii="仿宋_GB2312" w:eastAsia="仿宋_GB2312" w:hAnsi="Times New Roman" w:cs="Times New Roman" w:hint="eastAsia"/>
          <w:sz w:val="32"/>
          <w:szCs w:val="32"/>
        </w:rPr>
        <w:t>：检测视场≥1000毫米*1000毫米，照度均匀度≥90%，检测铝合金和玻璃等材质≥8种，检测注塑、喷涂和拉丝等≥5种工艺的工业产品，检测准确率≥90%，跨材质色差误判率≤10%，</w:t>
      </w:r>
      <w:proofErr w:type="gramStart"/>
      <w:r>
        <w:rPr>
          <w:rFonts w:ascii="仿宋_GB2312" w:eastAsia="仿宋_GB2312" w:hAnsi="Times New Roman" w:cs="Times New Roman" w:hint="eastAsia"/>
          <w:sz w:val="32"/>
          <w:szCs w:val="32"/>
        </w:rPr>
        <w:t>产线上</w:t>
      </w:r>
      <w:proofErr w:type="gramEnd"/>
      <w:r>
        <w:rPr>
          <w:rFonts w:ascii="仿宋_GB2312" w:eastAsia="仿宋_GB2312" w:hAnsi="Times New Roman" w:cs="Times New Roman" w:hint="eastAsia"/>
          <w:sz w:val="32"/>
          <w:szCs w:val="32"/>
        </w:rPr>
        <w:t>检测响应时间≤60s，设备</w:t>
      </w:r>
      <w:proofErr w:type="gramStart"/>
      <w:r>
        <w:rPr>
          <w:rFonts w:ascii="仿宋_GB2312" w:eastAsia="仿宋_GB2312" w:hAnsi="Times New Roman" w:cs="Times New Roman" w:hint="eastAsia"/>
          <w:sz w:val="32"/>
          <w:szCs w:val="32"/>
        </w:rPr>
        <w:t>台间差</w:t>
      </w:r>
      <w:proofErr w:type="gramEnd"/>
      <w:r>
        <w:rPr>
          <w:rFonts w:ascii="仿宋_GB2312" w:eastAsia="仿宋_GB2312" w:hAnsi="Times New Roman" w:cs="Times New Roman" w:hint="eastAsia"/>
          <w:sz w:val="32"/>
          <w:szCs w:val="32"/>
        </w:rPr>
        <w:t>△E≤0.5，推动技术成果在至少1家家电企业实现转化应用。发表高质量论文不少于1篇，申请发明专利不少于2项，登记软件著作权不少于1项，培养相关研究领域研究生不少于4人。</w:t>
      </w:r>
    </w:p>
    <w:p w:rsidR="00BC5DD2" w:rsidRDefault="00292456">
      <w:pPr>
        <w:pStyle w:val="a3"/>
        <w:spacing w:after="0"/>
        <w:ind w:firstLineChars="200" w:firstLine="625"/>
        <w:rPr>
          <w:rFonts w:ascii="仿宋_GB2312" w:eastAsia="仿宋_GB2312" w:hAnsi="Times New Roman" w:cs="Times New Roman"/>
          <w:w w:val="98"/>
          <w:sz w:val="32"/>
          <w:szCs w:val="32"/>
        </w:rPr>
      </w:pPr>
      <w:proofErr w:type="gramStart"/>
      <w:r>
        <w:rPr>
          <w:rFonts w:ascii="仿宋_GB2312" w:eastAsia="仿宋_GB2312" w:hAnsi="Times New Roman" w:cs="Times New Roman" w:hint="eastAsia"/>
          <w:w w:val="98"/>
          <w:sz w:val="32"/>
          <w:szCs w:val="32"/>
        </w:rPr>
        <w:t>拟支持</w:t>
      </w:r>
      <w:proofErr w:type="gramEnd"/>
      <w:r>
        <w:rPr>
          <w:rFonts w:ascii="仿宋_GB2312" w:eastAsia="仿宋_GB2312" w:hAnsi="Times New Roman" w:cs="Times New Roman" w:hint="eastAsia"/>
          <w:w w:val="98"/>
          <w:sz w:val="32"/>
          <w:szCs w:val="32"/>
        </w:rPr>
        <w:t>项目1项，支持额度不超过40万元，项目执行期2年。</w:t>
      </w:r>
    </w:p>
    <w:p w:rsidR="00BC5DD2" w:rsidRDefault="00292456">
      <w:pPr>
        <w:pStyle w:val="a3"/>
        <w:spacing w:after="0"/>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（九）基于导电生物支架的干细胞功能调控与心肌修复机制研究</w:t>
      </w:r>
    </w:p>
    <w:p w:rsidR="00BC5DD2" w:rsidRDefault="00292456">
      <w:pPr>
        <w:pStyle w:val="a3"/>
        <w:spacing w:after="0"/>
        <w:ind w:firstLineChars="200" w:firstLine="643"/>
        <w:rPr>
          <w:rFonts w:ascii="仿宋_GB2312" w:eastAsia="仿宋_GB2312" w:hAnsi="Times New Roman" w:cs="Times New Roman"/>
          <w:sz w:val="32"/>
          <w:szCs w:val="32"/>
        </w:rPr>
      </w:pPr>
      <w:r>
        <w:rPr>
          <w:rFonts w:ascii="仿宋_GB2312" w:eastAsia="仿宋_GB2312" w:hAnsi="Times New Roman" w:cs="Times New Roman" w:hint="eastAsia"/>
          <w:b/>
          <w:bCs/>
          <w:sz w:val="32"/>
          <w:szCs w:val="32"/>
        </w:rPr>
        <w:t>研究内容</w:t>
      </w:r>
      <w:r>
        <w:rPr>
          <w:rFonts w:ascii="仿宋_GB2312" w:eastAsia="仿宋_GB2312" w:hAnsi="Times New Roman" w:cs="Times New Roman" w:hint="eastAsia"/>
          <w:sz w:val="32"/>
          <w:szCs w:val="32"/>
        </w:rPr>
        <w:t>：面向心肌梗死等重症心肌损伤后再生能力有限、易诱发心力衰竭的临床难题，研发多类干细胞协同导电生物支架构建的功能心肌补片。通过优化材料工艺，制备力学适配、导电亲水的仿生支架；实现干细胞共培养与定向分化，构建功能化补片；经体内外实验验证其生物相容性、促细胞黏附增殖作用及动</w:t>
      </w:r>
      <w:r>
        <w:rPr>
          <w:rFonts w:ascii="仿宋_GB2312" w:eastAsia="仿宋_GB2312" w:hAnsi="Times New Roman" w:cs="Times New Roman" w:hint="eastAsia"/>
          <w:sz w:val="32"/>
          <w:szCs w:val="32"/>
        </w:rPr>
        <w:lastRenderedPageBreak/>
        <w:t>物体内安全性。建立临床研究方案框架，明确纳入标准与应用流程。</w:t>
      </w:r>
    </w:p>
    <w:p w:rsidR="00BC5DD2" w:rsidRDefault="00292456">
      <w:pPr>
        <w:pStyle w:val="a3"/>
        <w:spacing w:after="0"/>
        <w:ind w:firstLineChars="200" w:firstLine="643"/>
        <w:rPr>
          <w:rFonts w:ascii="仿宋_GB2312" w:eastAsia="仿宋_GB2312" w:hAnsi="Times New Roman" w:cs="Times New Roman"/>
          <w:sz w:val="32"/>
          <w:szCs w:val="32"/>
        </w:rPr>
      </w:pPr>
      <w:r>
        <w:rPr>
          <w:rFonts w:ascii="仿宋_GB2312" w:eastAsia="仿宋_GB2312" w:hAnsi="Times New Roman" w:cs="Times New Roman" w:hint="eastAsia"/>
          <w:b/>
          <w:bCs/>
          <w:sz w:val="32"/>
          <w:szCs w:val="32"/>
        </w:rPr>
        <w:t>考核指标</w:t>
      </w:r>
      <w:r>
        <w:rPr>
          <w:rFonts w:ascii="仿宋_GB2312" w:eastAsia="仿宋_GB2312" w:hAnsi="Times New Roman" w:cs="Times New Roman" w:hint="eastAsia"/>
          <w:sz w:val="32"/>
          <w:szCs w:val="32"/>
        </w:rPr>
        <w:t>：获得兼具适配心肌力学性能、导电特性与亲水性的复合生物基材；完成干细胞在导电支架上的共培养与定向分化，获得功能化心肌补片；通过体内外试验验证生物相容性及对细胞行为的促进作用，利用动物模型初步评估其体内安全性；</w:t>
      </w:r>
      <w:proofErr w:type="gramStart"/>
      <w:r>
        <w:rPr>
          <w:rFonts w:ascii="仿宋_GB2312" w:eastAsia="仿宋_GB2312" w:hAnsi="Times New Roman" w:cs="Times New Roman" w:hint="eastAsia"/>
          <w:sz w:val="32"/>
          <w:szCs w:val="32"/>
        </w:rPr>
        <w:t>向具备</w:t>
      </w:r>
      <w:proofErr w:type="gramEnd"/>
      <w:r>
        <w:rPr>
          <w:rFonts w:ascii="仿宋_GB2312" w:eastAsia="仿宋_GB2312" w:hAnsi="Times New Roman" w:cs="Times New Roman" w:hint="eastAsia"/>
          <w:sz w:val="32"/>
          <w:szCs w:val="32"/>
        </w:rPr>
        <w:t>资质的医院提交干细胞临床研究备案材料并完成审批；形成1-2项核心技术方案，推动技术临床转化。发表高质量论文不少于2篇，申请发明专利不少于1项，培养相关研究领域研究生不少于2人。</w:t>
      </w:r>
    </w:p>
    <w:p w:rsidR="00BC5DD2" w:rsidRDefault="00292456">
      <w:pPr>
        <w:pStyle w:val="a3"/>
        <w:spacing w:after="0"/>
        <w:ind w:firstLineChars="200" w:firstLine="625"/>
        <w:rPr>
          <w:rFonts w:ascii="仿宋_GB2312" w:eastAsia="仿宋_GB2312" w:hAnsi="Times New Roman" w:cs="Times New Roman"/>
          <w:w w:val="98"/>
          <w:sz w:val="32"/>
          <w:szCs w:val="32"/>
        </w:rPr>
      </w:pPr>
      <w:proofErr w:type="gramStart"/>
      <w:r>
        <w:rPr>
          <w:rFonts w:ascii="仿宋_GB2312" w:eastAsia="仿宋_GB2312" w:hAnsi="Times New Roman" w:cs="Times New Roman" w:hint="eastAsia"/>
          <w:w w:val="98"/>
          <w:sz w:val="32"/>
          <w:szCs w:val="32"/>
        </w:rPr>
        <w:t>拟支持</w:t>
      </w:r>
      <w:proofErr w:type="gramEnd"/>
      <w:r>
        <w:rPr>
          <w:rFonts w:ascii="仿宋_GB2312" w:eastAsia="仿宋_GB2312" w:hAnsi="Times New Roman" w:cs="Times New Roman" w:hint="eastAsia"/>
          <w:w w:val="98"/>
          <w:sz w:val="32"/>
          <w:szCs w:val="32"/>
        </w:rPr>
        <w:t>项目1项，支持额度不超过40万元，项目执行期2年。</w:t>
      </w:r>
    </w:p>
    <w:p w:rsidR="00BC5DD2" w:rsidRDefault="00292456">
      <w:pPr>
        <w:widowControl w:val="0"/>
        <w:ind w:firstLineChars="200" w:firstLine="640"/>
        <w:rPr>
          <w:rFonts w:ascii="黑体" w:eastAsia="黑体" w:hAnsi="黑体"/>
          <w:sz w:val="32"/>
          <w:szCs w:val="32"/>
        </w:rPr>
      </w:pPr>
      <w:r>
        <w:rPr>
          <w:rFonts w:ascii="黑体" w:eastAsia="黑体" w:hAnsi="黑体" w:hint="eastAsia"/>
          <w:sz w:val="32"/>
          <w:szCs w:val="32"/>
        </w:rPr>
        <w:t>二、海克斯康联合基金</w:t>
      </w:r>
    </w:p>
    <w:p w:rsidR="00BC5DD2" w:rsidRDefault="00292456">
      <w:pPr>
        <w:widowControl w:val="0"/>
        <w:ind w:firstLineChars="200" w:firstLine="640"/>
        <w:rPr>
          <w:rFonts w:ascii="仿宋_GB2312" w:eastAsia="仿宋_GB2312" w:hAnsi="Times New Roman" w:cs="Times New Roman"/>
          <w:sz w:val="32"/>
          <w:szCs w:val="32"/>
        </w:rPr>
      </w:pPr>
      <w:r>
        <w:rPr>
          <w:rFonts w:ascii="楷体_GB2312" w:eastAsia="楷体_GB2312" w:hAnsi="楷体_GB2312" w:cs="楷体_GB2312" w:hint="eastAsia"/>
          <w:sz w:val="32"/>
          <w:szCs w:val="32"/>
        </w:rPr>
        <w:t>（一）膝关节核磁共振影像三维重建与仿真数据配准关键技术研究</w:t>
      </w:r>
    </w:p>
    <w:p w:rsidR="00BC5DD2" w:rsidRDefault="00292456">
      <w:pPr>
        <w:widowControl w:val="0"/>
        <w:ind w:firstLineChars="200" w:firstLine="643"/>
        <w:rPr>
          <w:rFonts w:ascii="仿宋_GB2312" w:eastAsia="仿宋_GB2312" w:hAnsi="Times New Roman" w:cs="Times New Roman"/>
          <w:sz w:val="32"/>
          <w:szCs w:val="32"/>
        </w:rPr>
      </w:pPr>
      <w:r>
        <w:rPr>
          <w:rFonts w:ascii="仿宋_GB2312" w:eastAsia="仿宋_GB2312" w:hAnsi="Times New Roman" w:cs="Times New Roman" w:hint="eastAsia"/>
          <w:b/>
          <w:bCs/>
          <w:sz w:val="32"/>
          <w:szCs w:val="32"/>
        </w:rPr>
        <w:t>研究内容</w:t>
      </w:r>
      <w:r>
        <w:rPr>
          <w:rFonts w:ascii="仿宋_GB2312" w:eastAsia="仿宋_GB2312" w:hAnsi="Times New Roman" w:cs="Times New Roman" w:hint="eastAsia"/>
          <w:sz w:val="32"/>
          <w:szCs w:val="32"/>
        </w:rPr>
        <w:t>：针对融合解剖学特征和生物力学约束的统一配准模型缺乏的临床现状，研究膝关节核磁共振影像三维重建与仿真数据</w:t>
      </w:r>
      <w:proofErr w:type="gramStart"/>
      <w:r>
        <w:rPr>
          <w:rFonts w:ascii="仿宋_GB2312" w:eastAsia="仿宋_GB2312" w:hAnsi="Times New Roman" w:cs="Times New Roman" w:hint="eastAsia"/>
          <w:sz w:val="32"/>
          <w:szCs w:val="32"/>
        </w:rPr>
        <w:t>自动自动</w:t>
      </w:r>
      <w:proofErr w:type="gramEnd"/>
      <w:r>
        <w:rPr>
          <w:rFonts w:ascii="仿宋_GB2312" w:eastAsia="仿宋_GB2312" w:hAnsi="Times New Roman" w:cs="Times New Roman" w:hint="eastAsia"/>
          <w:sz w:val="32"/>
          <w:szCs w:val="32"/>
        </w:rPr>
        <w:t>配准关键技术，实现膝关节核磁共振影像中关键组织的自动精准分割与三维重建，生成满足有限元应力仿真计算要求的结构化模型。构建端到端的自动化配准流程，应用于膝关节术前规划、手术模拟与效果预测等，为提升膝关节手术的精准度与手术效果提供可靠技术支持。</w:t>
      </w:r>
    </w:p>
    <w:p w:rsidR="00BC5DD2" w:rsidRDefault="00292456">
      <w:pPr>
        <w:widowControl w:val="0"/>
        <w:ind w:firstLineChars="200" w:firstLine="643"/>
        <w:rPr>
          <w:rFonts w:ascii="仿宋_GB2312" w:eastAsia="仿宋_GB2312" w:hAnsi="Times New Roman" w:cs="Times New Roman"/>
          <w:sz w:val="32"/>
          <w:szCs w:val="32"/>
        </w:rPr>
      </w:pPr>
      <w:r>
        <w:rPr>
          <w:rFonts w:ascii="仿宋_GB2312" w:eastAsia="仿宋_GB2312" w:hAnsi="Times New Roman" w:cs="Times New Roman" w:hint="eastAsia"/>
          <w:b/>
          <w:bCs/>
          <w:sz w:val="32"/>
          <w:szCs w:val="32"/>
        </w:rPr>
        <w:t>考核指标</w:t>
      </w:r>
      <w:r>
        <w:rPr>
          <w:rFonts w:ascii="仿宋_GB2312" w:eastAsia="仿宋_GB2312" w:hAnsi="Times New Roman" w:cs="Times New Roman" w:hint="eastAsia"/>
          <w:sz w:val="32"/>
          <w:szCs w:val="32"/>
        </w:rPr>
        <w:t>：</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lastRenderedPageBreak/>
        <w:t>1.构建≥150例基于三维核磁共振（非脂肪抑制T2加权序列，层厚&lt;0.8毫米）和立位CT的独立膝关节模型分析数据库，结合多平面影像标注股骨、胫骨、腓骨、前/后交叉韧带、内/外侧副韧带及内/外侧半月板9个核心组织。</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2.算法需满足：AP≥78%、AR≥75%、mAP@50≥75%、</w:t>
      </w:r>
      <w:proofErr w:type="spellStart"/>
      <w:r>
        <w:rPr>
          <w:rFonts w:ascii="仿宋_GB2312" w:eastAsia="仿宋_GB2312" w:hAnsi="Times New Roman" w:cs="Times New Roman" w:hint="eastAsia"/>
          <w:sz w:val="32"/>
          <w:szCs w:val="32"/>
        </w:rPr>
        <w:t>mIoU</w:t>
      </w:r>
      <w:proofErr w:type="spellEnd"/>
      <w:r>
        <w:rPr>
          <w:rFonts w:ascii="仿宋_GB2312" w:eastAsia="仿宋_GB2312" w:hAnsi="Times New Roman" w:cs="Times New Roman" w:hint="eastAsia"/>
          <w:sz w:val="32"/>
          <w:szCs w:val="32"/>
        </w:rPr>
        <w:t>≥80%、平均DICE≥85%，</w:t>
      </w:r>
      <w:proofErr w:type="gramStart"/>
      <w:r>
        <w:rPr>
          <w:rFonts w:ascii="仿宋_GB2312" w:eastAsia="仿宋_GB2312" w:hAnsi="Times New Roman" w:cs="Times New Roman" w:hint="eastAsia"/>
          <w:sz w:val="32"/>
          <w:szCs w:val="32"/>
        </w:rPr>
        <w:t>单组织</w:t>
      </w:r>
      <w:proofErr w:type="gramEnd"/>
      <w:r>
        <w:rPr>
          <w:rFonts w:ascii="仿宋_GB2312" w:eastAsia="仿宋_GB2312" w:hAnsi="Times New Roman" w:cs="Times New Roman" w:hint="eastAsia"/>
          <w:sz w:val="32"/>
          <w:szCs w:val="32"/>
        </w:rPr>
        <w:t>处理&lt;1分钟。</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3.需实现上述9个核心组织的三维点云及表面网格重建，单膝建模时间&lt;30分钟。</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4.成果需含高水平论文≥3篇、授权发明专利≥2项、</w:t>
      </w:r>
      <w:proofErr w:type="gramStart"/>
      <w:r>
        <w:rPr>
          <w:rFonts w:ascii="仿宋_GB2312" w:eastAsia="仿宋_GB2312" w:hAnsi="Times New Roman" w:cs="Times New Roman" w:hint="eastAsia"/>
          <w:sz w:val="32"/>
          <w:szCs w:val="32"/>
        </w:rPr>
        <w:t>软著</w:t>
      </w:r>
      <w:proofErr w:type="gramEnd"/>
      <w:r>
        <w:rPr>
          <w:rFonts w:ascii="仿宋_GB2312" w:eastAsia="仿宋_GB2312" w:hAnsi="Times New Roman" w:cs="Times New Roman" w:hint="eastAsia"/>
          <w:sz w:val="32"/>
          <w:szCs w:val="32"/>
        </w:rPr>
        <w:t>≥3项，培养研究生≥3名。</w:t>
      </w:r>
    </w:p>
    <w:p w:rsidR="00BC5DD2" w:rsidRDefault="00292456">
      <w:pPr>
        <w:widowControl w:val="0"/>
        <w:ind w:firstLineChars="200" w:firstLine="640"/>
        <w:rPr>
          <w:rFonts w:ascii="仿宋_GB2312" w:eastAsia="仿宋_GB2312" w:hAnsi="Times New Roman" w:cs="Times New Roman"/>
          <w:sz w:val="32"/>
          <w:szCs w:val="32"/>
        </w:rPr>
      </w:pPr>
      <w:proofErr w:type="gramStart"/>
      <w:r>
        <w:rPr>
          <w:rFonts w:ascii="仿宋_GB2312" w:eastAsia="仿宋_GB2312" w:hAnsi="Times New Roman" w:cs="Times New Roman" w:hint="eastAsia"/>
          <w:sz w:val="32"/>
          <w:szCs w:val="32"/>
        </w:rPr>
        <w:t>拟支持</w:t>
      </w:r>
      <w:proofErr w:type="gramEnd"/>
      <w:r>
        <w:rPr>
          <w:rFonts w:ascii="仿宋_GB2312" w:eastAsia="仿宋_GB2312" w:hAnsi="Times New Roman" w:cs="Times New Roman" w:hint="eastAsia"/>
          <w:sz w:val="32"/>
          <w:szCs w:val="32"/>
        </w:rPr>
        <w:t>项目1项，支持额度不超过180万，项目执行期3年。</w:t>
      </w:r>
    </w:p>
    <w:p w:rsidR="00BC5DD2" w:rsidRDefault="00292456">
      <w:pPr>
        <w:widowControl w:val="0"/>
        <w:ind w:firstLineChars="200" w:firstLine="640"/>
        <w:rPr>
          <w:rFonts w:ascii="仿宋_GB2312" w:eastAsia="仿宋_GB2312" w:hAnsi="Times New Roman" w:cs="Times New Roman"/>
          <w:sz w:val="32"/>
          <w:szCs w:val="32"/>
        </w:rPr>
      </w:pPr>
      <w:r>
        <w:rPr>
          <w:rFonts w:ascii="楷体_GB2312" w:eastAsia="楷体_GB2312" w:hAnsi="楷体_GB2312" w:cs="楷体_GB2312" w:hint="eastAsia"/>
          <w:sz w:val="32"/>
          <w:szCs w:val="32"/>
        </w:rPr>
        <w:t>（二）临床数据驱动的国人膝关节计算模型校准关键技术研究</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研究内容：针对现有的膝关节计算模型参数难以准确分析国人生物力学特性的问题，研究基于临床多源数据（包括力学性能测试与立位CT影像）的计算校准关键技术，构建从数据采集、结果验证到计算校准的完整闭环。评估不同临床数据源对膝关节计算关键参数的敏感性，建立标准化的模型校正流程与可量化的分析置信度评估体系，提升膝关节生物力学分析在国人个体化膝关节手术规划、植入物设计、疗效预测、康复指导等临床场景中的可信度与实用价值。</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考核指标：</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lastRenderedPageBreak/>
        <w:t>1.纳入正常志愿者、膝关节手术患者各≥200例，采集足底压力等多类型生物力学数据，获取≥200例立位CT影像数据。</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2.建立≥200例膝关节离体生物样本库，同步构建生物力学性能、微观结构与生化成分数据库。</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3.运动模式隐式非线性有限元仿真</w:t>
      </w:r>
      <w:proofErr w:type="gramStart"/>
      <w:r>
        <w:rPr>
          <w:rFonts w:ascii="仿宋_GB2312" w:eastAsia="仿宋_GB2312" w:hAnsi="Times New Roman" w:cs="Times New Roman" w:hint="eastAsia"/>
          <w:sz w:val="32"/>
          <w:szCs w:val="32"/>
        </w:rPr>
        <w:t>收敛占</w:t>
      </w:r>
      <w:proofErr w:type="gramEnd"/>
      <w:r>
        <w:rPr>
          <w:rFonts w:ascii="仿宋_GB2312" w:eastAsia="仿宋_GB2312" w:hAnsi="Times New Roman" w:cs="Times New Roman" w:hint="eastAsia"/>
          <w:sz w:val="32"/>
          <w:szCs w:val="32"/>
        </w:rPr>
        <w:t>比≥85%，检测结果满足：平均绝对百分比误差≤15%，数据曲线相关系数≥0.85。</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4.需形成可量化仿真结果置信度评估体系，筛选敏感性与特异性关键参数。</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5.成果需含高水平论文≥3篇、授权发明专利≥2项、</w:t>
      </w:r>
      <w:proofErr w:type="gramStart"/>
      <w:r>
        <w:rPr>
          <w:rFonts w:ascii="仿宋_GB2312" w:eastAsia="仿宋_GB2312" w:hAnsi="Times New Roman" w:cs="Times New Roman" w:hint="eastAsia"/>
          <w:sz w:val="32"/>
          <w:szCs w:val="32"/>
        </w:rPr>
        <w:t>软著</w:t>
      </w:r>
      <w:proofErr w:type="gramEnd"/>
      <w:r>
        <w:rPr>
          <w:rFonts w:ascii="仿宋_GB2312" w:eastAsia="仿宋_GB2312" w:hAnsi="Times New Roman" w:cs="Times New Roman" w:hint="eastAsia"/>
          <w:sz w:val="32"/>
          <w:szCs w:val="32"/>
        </w:rPr>
        <w:t>≥3项，培养研究生≥3名。</w:t>
      </w:r>
    </w:p>
    <w:p w:rsidR="00BC5DD2" w:rsidRDefault="00292456">
      <w:pPr>
        <w:widowControl w:val="0"/>
        <w:ind w:firstLineChars="200" w:firstLine="640"/>
        <w:rPr>
          <w:rFonts w:ascii="仿宋_GB2312" w:eastAsia="仿宋_GB2312" w:hAnsi="Times New Roman" w:cs="Times New Roman"/>
          <w:sz w:val="32"/>
          <w:szCs w:val="32"/>
        </w:rPr>
      </w:pPr>
      <w:proofErr w:type="gramStart"/>
      <w:r>
        <w:rPr>
          <w:rFonts w:ascii="仿宋_GB2312" w:eastAsia="仿宋_GB2312" w:hAnsi="Times New Roman" w:cs="Times New Roman" w:hint="eastAsia"/>
          <w:sz w:val="32"/>
          <w:szCs w:val="32"/>
        </w:rPr>
        <w:t>拟支持</w:t>
      </w:r>
      <w:proofErr w:type="gramEnd"/>
      <w:r>
        <w:rPr>
          <w:rFonts w:ascii="仿宋_GB2312" w:eastAsia="仿宋_GB2312" w:hAnsi="Times New Roman" w:cs="Times New Roman" w:hint="eastAsia"/>
          <w:sz w:val="32"/>
          <w:szCs w:val="32"/>
        </w:rPr>
        <w:t>项目1项，支持额度不超过180万，项目执行期3年。</w:t>
      </w:r>
    </w:p>
    <w:p w:rsidR="00BC5DD2" w:rsidRDefault="00292456">
      <w:pPr>
        <w:widowControl w:val="0"/>
        <w:ind w:firstLineChars="200" w:firstLine="640"/>
        <w:rPr>
          <w:rFonts w:ascii="仿宋_GB2312" w:eastAsia="仿宋_GB2312" w:hAnsi="Times New Roman" w:cs="Times New Roman"/>
          <w:sz w:val="32"/>
          <w:szCs w:val="32"/>
        </w:rPr>
      </w:pPr>
      <w:r>
        <w:rPr>
          <w:rFonts w:ascii="楷体_GB2312" w:eastAsia="楷体_GB2312" w:hAnsi="楷体_GB2312" w:cs="楷体_GB2312" w:hint="eastAsia"/>
          <w:sz w:val="32"/>
          <w:szCs w:val="32"/>
        </w:rPr>
        <w:t>（三）膝关节多元化术式人工智能系统关键技术研究</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研究内容：针对膝关节软组织手术缺乏术前规划与效果模拟辅助工具的临床难点，建设膝关节高效多元化术式人工智能规划平台，开发高精度三维</w:t>
      </w:r>
      <w:proofErr w:type="gramStart"/>
      <w:r>
        <w:rPr>
          <w:rFonts w:ascii="仿宋_GB2312" w:eastAsia="仿宋_GB2312" w:hAnsi="Times New Roman" w:cs="Times New Roman" w:hint="eastAsia"/>
          <w:sz w:val="32"/>
          <w:szCs w:val="32"/>
        </w:rPr>
        <w:t>交互与</w:t>
      </w:r>
      <w:proofErr w:type="gramEnd"/>
      <w:r>
        <w:rPr>
          <w:rFonts w:ascii="仿宋_GB2312" w:eastAsia="仿宋_GB2312" w:hAnsi="Times New Roman" w:cs="Times New Roman" w:hint="eastAsia"/>
          <w:sz w:val="32"/>
          <w:szCs w:val="32"/>
        </w:rPr>
        <w:t>可视化操作系统，形成从医学影像自动处理到手术方案智能优化的一体化工作流程。集成多模态数据算法，实现多种膝关节手术方案多功能位的应力-应变云图分析，支持医生对膝关节模型的多角度观察、虚拟操作与方案模拟，为术前规划、术式选择与手术效果预估提供直观、量化工具。</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考核指标：</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1.研发全自动智能膝关节手术规划系统，实现前/后交叉韧带、内/外侧副韧带以及内侧半月板等修复重建手术的术前规划、</w:t>
      </w:r>
      <w:r>
        <w:rPr>
          <w:rFonts w:ascii="仿宋_GB2312" w:eastAsia="仿宋_GB2312" w:hAnsi="Times New Roman" w:cs="Times New Roman" w:hint="eastAsia"/>
          <w:sz w:val="32"/>
          <w:szCs w:val="32"/>
        </w:rPr>
        <w:lastRenderedPageBreak/>
        <w:t>术式选择及手术效果模拟。</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2.系统需集成生物力学分析功能，实现基于三维MRI和立位CT影像学数据的膝关节自动三维建模、表面网格创建、组织材料属性赋予以及约束条件施加。</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3.开发≥2种基于解剖结构与生物力学协同的择优手术规划算法，搭建高精度三维交互可视化系统，要求</w:t>
      </w:r>
      <w:proofErr w:type="gramStart"/>
      <w:r>
        <w:rPr>
          <w:rFonts w:ascii="仿宋_GB2312" w:eastAsia="仿宋_GB2312" w:hAnsi="Times New Roman" w:cs="Times New Roman" w:hint="eastAsia"/>
          <w:sz w:val="32"/>
          <w:szCs w:val="32"/>
        </w:rPr>
        <w:t>稳定帧率</w:t>
      </w:r>
      <w:proofErr w:type="gramEnd"/>
      <w:r>
        <w:rPr>
          <w:rFonts w:ascii="仿宋_GB2312" w:eastAsia="仿宋_GB2312" w:hAnsi="Times New Roman" w:cs="Times New Roman" w:hint="eastAsia"/>
          <w:sz w:val="32"/>
          <w:szCs w:val="32"/>
        </w:rPr>
        <w:t>≥30FPS、延迟≤50毫秒、渲染支持≥5000万节点。</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4.成果需含高水平论文≥3篇、授权发明专利≥2项、</w:t>
      </w:r>
      <w:proofErr w:type="gramStart"/>
      <w:r>
        <w:rPr>
          <w:rFonts w:ascii="仿宋_GB2312" w:eastAsia="仿宋_GB2312" w:hAnsi="Times New Roman" w:cs="Times New Roman" w:hint="eastAsia"/>
          <w:sz w:val="32"/>
          <w:szCs w:val="32"/>
        </w:rPr>
        <w:t>软著</w:t>
      </w:r>
      <w:proofErr w:type="gramEnd"/>
      <w:r>
        <w:rPr>
          <w:rFonts w:ascii="仿宋_GB2312" w:eastAsia="仿宋_GB2312" w:hAnsi="Times New Roman" w:cs="Times New Roman" w:hint="eastAsia"/>
          <w:sz w:val="32"/>
          <w:szCs w:val="32"/>
        </w:rPr>
        <w:t>≥3项，培养研究生≥3名。</w:t>
      </w:r>
    </w:p>
    <w:p w:rsidR="00BC5DD2" w:rsidRDefault="00292456">
      <w:pPr>
        <w:widowControl w:val="0"/>
        <w:ind w:firstLineChars="200" w:firstLine="640"/>
        <w:rPr>
          <w:rFonts w:ascii="仿宋_GB2312" w:eastAsia="仿宋_GB2312" w:hAnsi="Times New Roman" w:cs="Times New Roman"/>
          <w:sz w:val="32"/>
          <w:szCs w:val="32"/>
        </w:rPr>
      </w:pPr>
      <w:proofErr w:type="gramStart"/>
      <w:r>
        <w:rPr>
          <w:rFonts w:ascii="仿宋_GB2312" w:eastAsia="仿宋_GB2312" w:hAnsi="Times New Roman" w:cs="Times New Roman" w:hint="eastAsia"/>
          <w:sz w:val="32"/>
          <w:szCs w:val="32"/>
        </w:rPr>
        <w:t>拟支持</w:t>
      </w:r>
      <w:proofErr w:type="gramEnd"/>
      <w:r>
        <w:rPr>
          <w:rFonts w:ascii="仿宋_GB2312" w:eastAsia="仿宋_GB2312" w:hAnsi="Times New Roman" w:cs="Times New Roman" w:hint="eastAsia"/>
          <w:sz w:val="32"/>
          <w:szCs w:val="32"/>
        </w:rPr>
        <w:t>项目1项，支持额度不超过180万，项目执行期3年。</w:t>
      </w:r>
    </w:p>
    <w:p w:rsidR="00BC5DD2" w:rsidRDefault="00292456">
      <w:pPr>
        <w:widowControl w:val="0"/>
        <w:ind w:firstLineChars="200" w:firstLine="640"/>
        <w:rPr>
          <w:rFonts w:ascii="仿宋_GB2312" w:eastAsia="仿宋_GB2312" w:hAnsi="Times New Roman" w:cs="Times New Roman"/>
          <w:sz w:val="32"/>
          <w:szCs w:val="32"/>
        </w:rPr>
      </w:pPr>
      <w:r>
        <w:rPr>
          <w:rFonts w:ascii="楷体_GB2312" w:eastAsia="楷体_GB2312" w:hAnsi="楷体_GB2312" w:cs="楷体_GB2312" w:hint="eastAsia"/>
          <w:sz w:val="32"/>
          <w:szCs w:val="32"/>
        </w:rPr>
        <w:t>（四）膝关节多自由度运动-应力映射系统关键技术研究</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研究内容：针对传统生物力学有限元仿真技术效率低下、硬件及人员要求高、难以实现临床转化应用等难点，研发可供临床应用的膝关节多自由度运动-应力映射系统。突破多自由度运动-应力映射关键技术，构建满足应力仿真计算要求的映射模型，实现运动-应力关系的动态可视化、定量评估与力学预测，为临床术前规划、手术方案优化及术后力学效果评估提供直观、量化的决策支持。</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考核指标：</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1.研发膝关节标注组织三维重建模型到多自由度运动应力标准模型的端到端映射算法及系统，要求映射精度≥80%、单次仿真处理时间&lt;5分钟。</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lastRenderedPageBreak/>
        <w:t>2.建立精确标注髌骨、髌骨韧带、股四头肌、股二头肌、半腱肌、半膜肌、股薄肌、小腿三头肌、股骨软骨、胫骨软骨、</w:t>
      </w:r>
      <w:proofErr w:type="gramStart"/>
      <w:r>
        <w:rPr>
          <w:rFonts w:ascii="仿宋_GB2312" w:eastAsia="仿宋_GB2312" w:hAnsi="Times New Roman" w:cs="Times New Roman" w:hint="eastAsia"/>
          <w:sz w:val="32"/>
          <w:szCs w:val="32"/>
        </w:rPr>
        <w:t>膑</w:t>
      </w:r>
      <w:proofErr w:type="gramEnd"/>
      <w:r>
        <w:rPr>
          <w:rFonts w:ascii="仿宋_GB2312" w:eastAsia="仿宋_GB2312" w:hAnsi="Times New Roman" w:cs="Times New Roman" w:hint="eastAsia"/>
          <w:sz w:val="32"/>
          <w:szCs w:val="32"/>
        </w:rPr>
        <w:t>骨软骨11种关键组织的MRI影像数据库，每种样本量≥200例，算法需满足AP、AR、mAP@50≥91%，</w:t>
      </w:r>
      <w:proofErr w:type="spellStart"/>
      <w:r>
        <w:rPr>
          <w:rFonts w:ascii="仿宋_GB2312" w:eastAsia="仿宋_GB2312" w:hAnsi="Times New Roman" w:cs="Times New Roman" w:hint="eastAsia"/>
          <w:sz w:val="32"/>
          <w:szCs w:val="32"/>
        </w:rPr>
        <w:t>mIoU</w:t>
      </w:r>
      <w:proofErr w:type="spellEnd"/>
      <w:r>
        <w:rPr>
          <w:rFonts w:ascii="仿宋_GB2312" w:eastAsia="仿宋_GB2312" w:hAnsi="Times New Roman" w:cs="Times New Roman" w:hint="eastAsia"/>
          <w:sz w:val="32"/>
          <w:szCs w:val="32"/>
        </w:rPr>
        <w:t>≥83%，平均DICE≥87%，</w:t>
      </w:r>
      <w:proofErr w:type="gramStart"/>
      <w:r>
        <w:rPr>
          <w:rFonts w:ascii="仿宋_GB2312" w:eastAsia="仿宋_GB2312" w:hAnsi="Times New Roman" w:cs="Times New Roman" w:hint="eastAsia"/>
          <w:sz w:val="32"/>
          <w:szCs w:val="32"/>
        </w:rPr>
        <w:t>单组织</w:t>
      </w:r>
      <w:proofErr w:type="gramEnd"/>
      <w:r>
        <w:rPr>
          <w:rFonts w:ascii="仿宋_GB2312" w:eastAsia="仿宋_GB2312" w:hAnsi="Times New Roman" w:cs="Times New Roman" w:hint="eastAsia"/>
          <w:sz w:val="32"/>
          <w:szCs w:val="32"/>
        </w:rPr>
        <w:t>处理&lt;1分钟。</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3.构建覆盖拉</w:t>
      </w:r>
      <w:proofErr w:type="gramStart"/>
      <w:r>
        <w:rPr>
          <w:rFonts w:ascii="仿宋_GB2312" w:eastAsia="仿宋_GB2312" w:hAnsi="Times New Roman" w:cs="Times New Roman" w:hint="eastAsia"/>
          <w:sz w:val="32"/>
          <w:szCs w:val="32"/>
        </w:rPr>
        <w:t>赫曼</w:t>
      </w:r>
      <w:proofErr w:type="gramEnd"/>
      <w:r>
        <w:rPr>
          <w:rFonts w:ascii="仿宋_GB2312" w:eastAsia="仿宋_GB2312" w:hAnsi="Times New Roman" w:cs="Times New Roman" w:hint="eastAsia"/>
          <w:sz w:val="32"/>
          <w:szCs w:val="32"/>
        </w:rPr>
        <w:t>、轴移、内/外旋及落地冲击等不少于4种的运动模型（各≥100例配准数据），单位运动精度0.5度/毫米，仿真</w:t>
      </w:r>
      <w:proofErr w:type="gramStart"/>
      <w:r>
        <w:rPr>
          <w:rFonts w:ascii="仿宋_GB2312" w:eastAsia="仿宋_GB2312" w:hAnsi="Times New Roman" w:cs="Times New Roman" w:hint="eastAsia"/>
          <w:sz w:val="32"/>
          <w:szCs w:val="32"/>
        </w:rPr>
        <w:t>收敛占</w:t>
      </w:r>
      <w:proofErr w:type="gramEnd"/>
      <w:r>
        <w:rPr>
          <w:rFonts w:ascii="仿宋_GB2312" w:eastAsia="仿宋_GB2312" w:hAnsi="Times New Roman" w:cs="Times New Roman" w:hint="eastAsia"/>
          <w:sz w:val="32"/>
          <w:szCs w:val="32"/>
        </w:rPr>
        <w:t>比≥85%。</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4.成果需含高水平论文≥3篇、授权发明专利≥2项、</w:t>
      </w:r>
      <w:proofErr w:type="gramStart"/>
      <w:r>
        <w:rPr>
          <w:rFonts w:ascii="仿宋_GB2312" w:eastAsia="仿宋_GB2312" w:hAnsi="Times New Roman" w:cs="Times New Roman" w:hint="eastAsia"/>
          <w:sz w:val="32"/>
          <w:szCs w:val="32"/>
        </w:rPr>
        <w:t>软著</w:t>
      </w:r>
      <w:proofErr w:type="gramEnd"/>
      <w:r>
        <w:rPr>
          <w:rFonts w:ascii="仿宋_GB2312" w:eastAsia="仿宋_GB2312" w:hAnsi="Times New Roman" w:cs="Times New Roman" w:hint="eastAsia"/>
          <w:sz w:val="32"/>
          <w:szCs w:val="32"/>
        </w:rPr>
        <w:t>≥3项，培养研究生≥3名。</w:t>
      </w:r>
    </w:p>
    <w:p w:rsidR="00BC5DD2" w:rsidRDefault="00292456">
      <w:pPr>
        <w:widowControl w:val="0"/>
        <w:ind w:firstLineChars="200" w:firstLine="640"/>
        <w:rPr>
          <w:rFonts w:ascii="仿宋_GB2312" w:eastAsia="仿宋_GB2312" w:hAnsi="Times New Roman" w:cs="Times New Roman"/>
          <w:sz w:val="32"/>
          <w:szCs w:val="32"/>
        </w:rPr>
      </w:pPr>
      <w:proofErr w:type="gramStart"/>
      <w:r>
        <w:rPr>
          <w:rFonts w:ascii="仿宋_GB2312" w:eastAsia="仿宋_GB2312" w:hAnsi="Times New Roman" w:cs="Times New Roman" w:hint="eastAsia"/>
          <w:sz w:val="32"/>
          <w:szCs w:val="32"/>
        </w:rPr>
        <w:t>拟支持</w:t>
      </w:r>
      <w:proofErr w:type="gramEnd"/>
      <w:r>
        <w:rPr>
          <w:rFonts w:ascii="仿宋_GB2312" w:eastAsia="仿宋_GB2312" w:hAnsi="Times New Roman" w:cs="Times New Roman" w:hint="eastAsia"/>
          <w:sz w:val="32"/>
          <w:szCs w:val="32"/>
        </w:rPr>
        <w:t>项目1项，支持额度不超过180万，项目执行期3年。</w:t>
      </w:r>
    </w:p>
    <w:p w:rsidR="00BC5DD2" w:rsidRDefault="00292456">
      <w:pPr>
        <w:widowControl w:val="0"/>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（五）膝关节术后康复生物力学多模态评估系统研究</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研究内容：聚焦膝关节术后康复进程，研发面向临床康复场景的多模态评估系统，整合医学影像、生物力学与临床功能等多维度数据，构建自动化、精准化、个性化的康复评估体系，攻克从原始影像数据到高精度三维仿真数字膝关节模型创建的难点。建立多模态医学数据标准化处理流程，开发基于临床评估与数字仿真分析的个性化康复方案优化模块，实现康复方案的动态精准调整。</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考核指标：</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1.构建健康志愿者、膝关节术后患者各≥100例的多模态数据库，含三维MRI、立位CT影像及生物力学、临床康复评分等数</w:t>
      </w:r>
      <w:r>
        <w:rPr>
          <w:rFonts w:ascii="仿宋_GB2312" w:eastAsia="仿宋_GB2312" w:hAnsi="Times New Roman" w:cs="Times New Roman" w:hint="eastAsia"/>
          <w:sz w:val="32"/>
          <w:szCs w:val="32"/>
        </w:rPr>
        <w:lastRenderedPageBreak/>
        <w:t>据，随访时间≥1年。</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2.建立组织修复评估体系，包括分割精度（</w:t>
      </w:r>
      <w:proofErr w:type="spellStart"/>
      <w:r>
        <w:rPr>
          <w:rFonts w:ascii="仿宋_GB2312" w:eastAsia="仿宋_GB2312" w:hAnsi="Times New Roman" w:cs="Times New Roman" w:hint="eastAsia"/>
          <w:sz w:val="32"/>
          <w:szCs w:val="32"/>
        </w:rPr>
        <w:t>mIoU</w:t>
      </w:r>
      <w:proofErr w:type="spellEnd"/>
      <w:r>
        <w:rPr>
          <w:rFonts w:ascii="仿宋_GB2312" w:eastAsia="仿宋_GB2312" w:hAnsi="Times New Roman" w:cs="Times New Roman" w:hint="eastAsia"/>
          <w:sz w:val="32"/>
          <w:szCs w:val="32"/>
        </w:rPr>
        <w:t>≥80%、平均DICE≥85%）、组织形态完整性、力学性能恢复度。</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3.建立多维度膝关节功能康复评估体系，涵盖运动精度（旋转≤0.5度、平移≤0.5毫米）、平衡能力、肌肉协同性、疼痛与活动能力评分等指标。</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4.研究多模态数据融合算法，构建康复预测模型，实现并发症预警与进程预判可视化评估体系。</w:t>
      </w:r>
    </w:p>
    <w:p w:rsidR="00BC5DD2" w:rsidRDefault="00292456">
      <w:pPr>
        <w:widowControl w:val="0"/>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5.成果需含高水平论文≥3篇、授权发明专利≥2项、</w:t>
      </w:r>
      <w:proofErr w:type="gramStart"/>
      <w:r>
        <w:rPr>
          <w:rFonts w:ascii="仿宋_GB2312" w:eastAsia="仿宋_GB2312" w:hAnsi="Times New Roman" w:cs="Times New Roman" w:hint="eastAsia"/>
          <w:sz w:val="32"/>
          <w:szCs w:val="32"/>
        </w:rPr>
        <w:t>软著</w:t>
      </w:r>
      <w:proofErr w:type="gramEnd"/>
      <w:r>
        <w:rPr>
          <w:rFonts w:ascii="仿宋_GB2312" w:eastAsia="仿宋_GB2312" w:hAnsi="Times New Roman" w:cs="Times New Roman" w:hint="eastAsia"/>
          <w:sz w:val="32"/>
          <w:szCs w:val="32"/>
        </w:rPr>
        <w:t>≥3项，培养研究生≥3名。</w:t>
      </w:r>
    </w:p>
    <w:p w:rsidR="00BC5DD2" w:rsidRDefault="00292456">
      <w:pPr>
        <w:widowControl w:val="0"/>
        <w:ind w:firstLineChars="200" w:firstLine="640"/>
      </w:pPr>
      <w:proofErr w:type="gramStart"/>
      <w:r>
        <w:rPr>
          <w:rFonts w:ascii="仿宋_GB2312" w:eastAsia="仿宋_GB2312" w:hAnsi="Times New Roman" w:cs="Times New Roman" w:hint="eastAsia"/>
          <w:sz w:val="32"/>
          <w:szCs w:val="32"/>
        </w:rPr>
        <w:t>拟支持</w:t>
      </w:r>
      <w:proofErr w:type="gramEnd"/>
      <w:r>
        <w:rPr>
          <w:rFonts w:ascii="仿宋_GB2312" w:eastAsia="仿宋_GB2312" w:hAnsi="Times New Roman" w:cs="Times New Roman" w:hint="eastAsia"/>
          <w:sz w:val="32"/>
          <w:szCs w:val="32"/>
        </w:rPr>
        <w:t>项目1项，支持额度不超过180万，项目执行期3年。</w:t>
      </w:r>
      <w:r w:rsidRPr="008530CD">
        <w:rPr>
          <w:rFonts w:ascii="仿宋_GB2312" w:eastAsia="仿宋_GB2312" w:hAnsi="Times New Roman" w:cs="Times New Roman" w:hint="eastAsia"/>
          <w:color w:val="FF0000"/>
          <w:sz w:val="32"/>
          <w:szCs w:val="32"/>
        </w:rPr>
        <w:t>以上5个项目，项目申报单位需匹配不少于1：1自筹资金</w:t>
      </w:r>
      <w:r>
        <w:rPr>
          <w:rFonts w:ascii="仿宋_GB2312" w:eastAsia="仿宋_GB2312" w:hAnsi="Times New Roman" w:cs="Times New Roman" w:hint="eastAsia"/>
          <w:sz w:val="32"/>
          <w:szCs w:val="32"/>
        </w:rPr>
        <w:t>。</w:t>
      </w:r>
    </w:p>
    <w:sectPr w:rsidR="00BC5DD2">
      <w:headerReference w:type="default" r:id="rId7"/>
      <w:footerReference w:type="default" r:id="rId8"/>
      <w:pgSz w:w="11906" w:h="16838"/>
      <w:pgMar w:top="2098" w:right="1474" w:bottom="1984" w:left="1588" w:header="851" w:footer="992" w:gutter="0"/>
      <w:pgNumType w:fmt="numberInDash"/>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59E5" w:rsidRDefault="005159E5">
      <w:pPr>
        <w:spacing w:line="240" w:lineRule="auto"/>
      </w:pPr>
      <w:r>
        <w:separator/>
      </w:r>
    </w:p>
  </w:endnote>
  <w:endnote w:type="continuationSeparator" w:id="0">
    <w:p w:rsidR="005159E5" w:rsidRDefault="005159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方正小标宋_GBK">
    <w:altName w:val="Microsoft YaHei UI"/>
    <w:charset w:val="86"/>
    <w:family w:val="auto"/>
    <w:pitch w:val="default"/>
    <w:sig w:usb0="00000000" w:usb1="080E0000" w:usb2="00000000" w:usb3="00000000" w:csb0="00040000" w:csb1="00000000"/>
  </w:font>
  <w:font w:name="文星标宋">
    <w:altName w:val="方正书宋_GBK"/>
    <w:charset w:val="00"/>
    <w:family w:val="auto"/>
    <w:pitch w:val="default"/>
    <w:sig w:usb0="00000000" w:usb1="00000000" w:usb2="00000010" w:usb3="00000000" w:csb0="00040001"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DD2" w:rsidRDefault="005159E5">
    <w:pPr>
      <w:pStyle w:val="a5"/>
      <w:jc w:val="center"/>
      <w:rPr>
        <w:rFonts w:ascii="楷体_GB2312" w:eastAsia="楷体_GB2312" w:hAnsi="宋体"/>
        <w:sz w:val="28"/>
        <w:szCs w:val="28"/>
      </w:rPr>
    </w:pPr>
    <w:r>
      <w:rPr>
        <w:sz w:val="28"/>
      </w:rPr>
      <w:pict>
        <v:rect id="文本框 1" o:spid="_x0000_s2049" style="position:absolute;left:0;text-align:left;margin-left:185.6pt;margin-top:0;width:2in;height:2in;z-index:251663872;mso-wrap-style:none;mso-position-horizontal:outside;mso-position-horizontal-relative:margin" filled="f" stroked="f">
          <v:textbox style="mso-fit-shape-to-text:t" inset="0,0,0,0">
            <w:txbxContent>
              <w:p w:rsidR="00BC5DD2" w:rsidRDefault="00292456">
                <w:pPr>
                  <w:pStyle w:val="a5"/>
                  <w:jc w:val="center"/>
                  <w:rPr>
                    <w:rFonts w:ascii="楷体_GB2312" w:eastAsia="楷体_GB2312" w:hAnsi="宋体"/>
                    <w:sz w:val="28"/>
                    <w:szCs w:val="28"/>
                  </w:rPr>
                </w:pPr>
                <w:r>
                  <w:rPr>
                    <w:rFonts w:ascii="楷体_GB2312" w:eastAsia="楷体_GB2312" w:hAnsi="宋体" w:hint="eastAsia"/>
                    <w:sz w:val="28"/>
                    <w:szCs w:val="28"/>
                  </w:rPr>
                  <w:fldChar w:fldCharType="begin"/>
                </w:r>
                <w:r>
                  <w:rPr>
                    <w:rFonts w:ascii="楷体_GB2312" w:eastAsia="楷体_GB2312" w:hAnsi="宋体" w:hint="eastAsia"/>
                    <w:sz w:val="28"/>
                    <w:szCs w:val="28"/>
                  </w:rPr>
                  <w:instrText>PAGE   \* MERGEFORMAT</w:instrText>
                </w:r>
                <w:r>
                  <w:rPr>
                    <w:rFonts w:ascii="楷体_GB2312" w:eastAsia="楷体_GB2312" w:hAnsi="宋体" w:hint="eastAsia"/>
                    <w:sz w:val="28"/>
                    <w:szCs w:val="28"/>
                  </w:rPr>
                  <w:fldChar w:fldCharType="separate"/>
                </w:r>
                <w:r w:rsidR="008A6D0B" w:rsidRPr="008A6D0B">
                  <w:rPr>
                    <w:noProof/>
                  </w:rPr>
                  <w:t>- 20 -</w:t>
                </w:r>
                <w:r>
                  <w:rPr>
                    <w:rFonts w:ascii="楷体_GB2312" w:eastAsia="楷体_GB2312" w:hAnsi="宋体" w:hint="eastAsia"/>
                    <w:sz w:val="28"/>
                    <w:szCs w:val="28"/>
                  </w:rPr>
                  <w:fldChar w:fldCharType="end"/>
                </w:r>
              </w:p>
              <w:p w:rsidR="00BC5DD2" w:rsidRDefault="00BC5DD2">
                <w:pPr>
                  <w:pStyle w:val="a6"/>
                </w:pPr>
              </w:p>
            </w:txbxContent>
          </v:textbox>
          <w10:wrap anchorx="margin"/>
        </v:rect>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59E5" w:rsidRDefault="005159E5">
      <w:pPr>
        <w:spacing w:line="240" w:lineRule="auto"/>
      </w:pPr>
      <w:r>
        <w:separator/>
      </w:r>
    </w:p>
  </w:footnote>
  <w:footnote w:type="continuationSeparator" w:id="0">
    <w:p w:rsidR="005159E5" w:rsidRDefault="005159E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DD2" w:rsidRDefault="005159E5">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1" type="#_x0000_t136" style="position:absolute;left:0;text-align:left;margin-left:20pt;margin-top:50pt;width:60pt;height:20pt;rotation:315;z-index:251651584" fillcolor="gray" strokecolor="silver" strokeweight="1pt">
          <v:textpath style="font-family:&quot;宋体&quot;" string="中国石油大学（华东）&#10;2025年12月30日"/>
        </v:shape>
      </w:pict>
    </w:r>
    <w:r>
      <w:pict>
        <v:shape id="_x0000_s2060" type="#_x0000_t136" style="position:absolute;left:0;text-align:left;margin-left:180pt;margin-top:50pt;width:60pt;height:20pt;rotation:315;z-index:251652608" fillcolor="gray" strokecolor="silver" strokeweight="1pt">
          <v:textpath style="font-family:&quot;宋体&quot;" string="中国石油大学（华东）&#10;2025年12月30日"/>
        </v:shape>
      </w:pict>
    </w:r>
    <w:r>
      <w:pict>
        <v:shape id="_x0000_s2059" type="#_x0000_t136" style="position:absolute;left:0;text-align:left;margin-left:340pt;margin-top:50pt;width:60pt;height:20pt;rotation:315;z-index:251653632" fillcolor="gray" strokecolor="silver" strokeweight="1pt">
          <v:textpath style="font-family:&quot;宋体&quot;" string="中国石油大学（华东）&#10;2025年12月30日"/>
        </v:shape>
      </w:pict>
    </w:r>
    <w:r>
      <w:pict>
        <v:shape id="_x0000_s2058" type="#_x0000_t136" style="position:absolute;left:0;text-align:left;margin-left:20pt;margin-top:200pt;width:60pt;height:20pt;rotation:315;z-index:251654656" fillcolor="gray" strokecolor="silver" strokeweight="1pt">
          <v:textpath style="font-family:&quot;宋体&quot;" string="中国石油大学（华东）&#10;2025年12月30日"/>
        </v:shape>
      </w:pict>
    </w:r>
    <w:r>
      <w:pict>
        <v:shape id="_x0000_s2057" type="#_x0000_t136" style="position:absolute;left:0;text-align:left;margin-left:180pt;margin-top:200pt;width:60pt;height:20pt;rotation:315;z-index:251655680" fillcolor="gray" strokecolor="silver" strokeweight="1pt">
          <v:textpath style="font-family:&quot;宋体&quot;" string="中国石油大学（华东）&#10;2025年12月30日"/>
        </v:shape>
      </w:pict>
    </w:r>
    <w:r>
      <w:pict>
        <v:shape id="_x0000_s2056" type="#_x0000_t136" style="position:absolute;left:0;text-align:left;margin-left:340pt;margin-top:200pt;width:60pt;height:20pt;rotation:315;z-index:251656704" fillcolor="gray" strokecolor="silver" strokeweight="1pt">
          <v:textpath style="font-family:&quot;宋体&quot;" string="中国石油大学（华东）&#10;2025年12月30日"/>
        </v:shape>
      </w:pict>
    </w:r>
    <w:r>
      <w:pict>
        <v:shape id="_x0000_s2055" type="#_x0000_t136" style="position:absolute;left:0;text-align:left;margin-left:20pt;margin-top:350pt;width:60pt;height:20pt;rotation:315;z-index:251657728" fillcolor="gray" strokecolor="silver" strokeweight="1pt">
          <v:textpath style="font-family:&quot;宋体&quot;" string="中国石油大学（华东）&#10;2025年12月30日"/>
        </v:shape>
      </w:pict>
    </w:r>
    <w:r>
      <w:pict>
        <v:shape id="_x0000_s2054" type="#_x0000_t136" style="position:absolute;left:0;text-align:left;margin-left:180pt;margin-top:350pt;width:60pt;height:20pt;rotation:315;z-index:251658752" fillcolor="gray" strokecolor="silver" strokeweight="1pt">
          <v:textpath style="font-family:&quot;宋体&quot;" string="中国石油大学（华东）&#10;2025年12月30日"/>
        </v:shape>
      </w:pict>
    </w:r>
    <w:r>
      <w:pict>
        <v:shape id="_x0000_s2053" type="#_x0000_t136" style="position:absolute;left:0;text-align:left;margin-left:340pt;margin-top:350pt;width:60pt;height:20pt;rotation:315;z-index:251659776" fillcolor="gray" strokecolor="silver" strokeweight="1pt">
          <v:textpath style="font-family:&quot;宋体&quot;" string="中国石油大学（华东）&#10;2025年12月30日"/>
        </v:shape>
      </w:pict>
    </w:r>
    <w:r>
      <w:pict>
        <v:shape id="_x0000_s2052" type="#_x0000_t136" style="position:absolute;left:0;text-align:left;margin-left:20pt;margin-top:500pt;width:60pt;height:20pt;rotation:315;z-index:251660800" fillcolor="gray" strokecolor="silver" strokeweight="1pt">
          <v:textpath style="font-family:&quot;宋体&quot;" string="中国石油大学（华东）&#10;2025年12月30日"/>
        </v:shape>
      </w:pict>
    </w:r>
    <w:r>
      <w:pict>
        <v:shape id="_x0000_s2051" type="#_x0000_t136" style="position:absolute;left:0;text-align:left;margin-left:180pt;margin-top:500pt;width:60pt;height:20pt;rotation:315;z-index:251661824" fillcolor="gray" strokecolor="silver" strokeweight="1pt">
          <v:textpath style="font-family:&quot;宋体&quot;" string="中国石油大学（华东）&#10;2025年12月30日"/>
        </v:shape>
      </w:pict>
    </w:r>
    <w:r>
      <w:pict>
        <v:shape id="_x0000_s2050" type="#_x0000_t136" style="position:absolute;left:0;text-align:left;margin-left:340pt;margin-top:500pt;width:60pt;height:20pt;rotation:315;z-index:251662848" fillcolor="gray" strokecolor="silver" strokeweight="1pt">
          <v:textpath style="font-family:&quot;宋体&quot;" string="中国石油大学（华东）&#10;2025年12月30日"/>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CE1"/>
    <w:multiLevelType w:val="multilevel"/>
    <w:tmpl w:val="14D6B7E2"/>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1" w15:restartNumberingAfterBreak="0">
    <w:nsid w:val="6D383E2B"/>
    <w:multiLevelType w:val="multilevel"/>
    <w:tmpl w:val="5B4E5736"/>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oNotTrackMoves/>
  <w:defaultTabStop w:val="420"/>
  <w:drawingGridVerticalSpacing w:val="156"/>
  <w:noPunctuationKerning/>
  <w:characterSpacingControl w:val="compressPunctuation"/>
  <w:hdrShapeDefaults>
    <o:shapedefaults v:ext="edit" spidmax="206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k0YmMyY2E4YmZmYzY4NGI3MmI3ZDExMTM5OTk3MWYifQ=="/>
  </w:docVars>
  <w:rsids>
    <w:rsidRoot w:val="00BC5DD2"/>
    <w:rsid w:val="00292456"/>
    <w:rsid w:val="005159E5"/>
    <w:rsid w:val="008530CD"/>
    <w:rsid w:val="008A6D0B"/>
    <w:rsid w:val="00BC5D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1"/>
    </o:shapelayout>
  </w:shapeDefaults>
  <w:decimalSymbol w:val="."/>
  <w:listSeparator w:val=","/>
  <w15:docId w15:val="{9C7BF3F3-DAB0-44A1-80F0-8F2256B99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semiHidden="1" w:unhideWhenUsed="1" w:qFormat="1"/>
    <w:lsdException w:name="Title" w:uiPriority="99" w:qFormat="1"/>
    <w:lsdException w:name="Default Paragraph Font" w:semiHidden="1" w:qFormat="1"/>
    <w:lsdException w:name="Body Text" w:uiPriority="99" w:unhideWhenUsed="1" w:qFormat="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HTML Typewriter"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lsdException w:name="Intense Emphasis" w:uiPriority="99"/>
    <w:lsdException w:name="Subtle Reference" w:uiPriority="99"/>
    <w:lsdException w:name="Intense Reference" w:uiPriority="99"/>
    <w:lsdException w:name="Book Title" w:uiPriority="99"/>
    <w:lsdException w:name="Bibliography" w:semiHidden="1" w:uiPriority="99" w:unhideWhenUsed="1"/>
    <w:lsdException w:name="TOC Heading" w:semiHidden="1" w:uiPriority="9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line="560" w:lineRule="exact"/>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99"/>
    <w:unhideWhenUsed/>
    <w:qFormat/>
    <w:pPr>
      <w:spacing w:after="120"/>
    </w:pPr>
  </w:style>
  <w:style w:type="paragraph" w:styleId="a4">
    <w:name w:val="Body Text Indent"/>
    <w:basedOn w:val="a"/>
    <w:qFormat/>
    <w:pPr>
      <w:spacing w:after="120"/>
      <w:ind w:leftChars="200" w:left="420"/>
    </w:pPr>
  </w:style>
  <w:style w:type="paragraph" w:styleId="a5">
    <w:name w:val="footer"/>
    <w:basedOn w:val="a"/>
    <w:uiPriority w:val="99"/>
    <w:unhideWhenUsed/>
    <w:qFormat/>
    <w:pPr>
      <w:tabs>
        <w:tab w:val="center" w:pos="4153"/>
        <w:tab w:val="right" w:pos="8306"/>
      </w:tabs>
      <w:snapToGrid w:val="0"/>
      <w:spacing w:line="240" w:lineRule="atLeast"/>
      <w:jc w:val="left"/>
    </w:pPr>
    <w:rPr>
      <w:sz w:val="18"/>
      <w:szCs w:val="18"/>
    </w:rPr>
  </w:style>
  <w:style w:type="paragraph" w:styleId="a6">
    <w:name w:val="Title"/>
    <w:basedOn w:val="a"/>
    <w:next w:val="a"/>
    <w:uiPriority w:val="99"/>
    <w:qFormat/>
    <w:pPr>
      <w:spacing w:before="240" w:after="60"/>
      <w:jc w:val="center"/>
      <w:outlineLvl w:val="0"/>
    </w:pPr>
    <w:rPr>
      <w:rFonts w:ascii="Arial" w:hAnsi="Arial" w:cs="Arial"/>
      <w:b/>
      <w:bCs/>
    </w:rPr>
  </w:style>
  <w:style w:type="paragraph" w:styleId="2">
    <w:name w:val="Body Text First Indent 2"/>
    <w:basedOn w:val="a4"/>
    <w:qFormat/>
    <w:pPr>
      <w:ind w:firstLine="420"/>
    </w:pPr>
  </w:style>
  <w:style w:type="table" w:styleId="a7">
    <w:name w:val="Table Grid"/>
    <w:basedOn w:val="a1"/>
    <w:tblPr>
      <w:tblBorders>
        <w:top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157264331</TotalTime>
  <Pages>20</Pages>
  <Words>1488</Words>
  <Characters>8482</Characters>
  <Application>Microsoft Office Word</Application>
  <DocSecurity>0</DocSecurity>
  <Lines>70</Lines>
  <Paragraphs>19</Paragraphs>
  <ScaleCrop>false</ScaleCrop>
  <Company/>
  <LinksUpToDate>false</LinksUpToDate>
  <CharactersWithSpaces>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议题X（黑体，三号字，左对齐）</dc:title>
  <dc:creator>qd</dc:creator>
  <cp:lastModifiedBy>dell</cp:lastModifiedBy>
  <cp:revision>3</cp:revision>
  <cp:lastPrinted>2025-12-25T01:10:00Z</cp:lastPrinted>
  <dcterms:created xsi:type="dcterms:W3CDTF">2024-08-04T23:58:00Z</dcterms:created>
  <dcterms:modified xsi:type="dcterms:W3CDTF">2025-12-30T08:42:00Z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ICV">
    <vt:lpwstr>F8536D4B0F751ADA92A04B691C9266C6_43</vt:lpwstr>
  </property>
  <property fmtid="{D5CDD505-2E9C-101B-9397-08002B2CF9AE}" pid="4" name="KSOTemplateDocerSaveRecord">
    <vt:lpwstr>eyJoZGlkIjoiMGNlNDk3NTFkNTZlYWMxZThlYzEyMDJhNGQwMTM3OGQiLCJ1c2VySWQiOiI0MTQ3NjU4MTcifQ==</vt:lpwstr>
  </property>
</Properties>
</file>